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sz w:val="20"/>
        </w:rPr>
      </w:pPr>
    </w:p>
    <w:p>
      <w:pPr>
        <w:spacing w:before="0" w:line="240" w:lineRule="auto"/>
        <w:rPr>
          <w:rFonts w:ascii="Times New Roman"/>
          <w:sz w:val="20"/>
        </w:rPr>
      </w:pPr>
    </w:p>
    <w:p>
      <w:pPr>
        <w:spacing w:before="0" w:line="240" w:lineRule="auto"/>
        <w:rPr>
          <w:rFonts w:ascii="Times New Roman"/>
          <w:sz w:val="20"/>
        </w:rPr>
      </w:pPr>
    </w:p>
    <w:p>
      <w:pPr>
        <w:spacing w:before="0" w:line="240" w:lineRule="auto"/>
        <w:rPr>
          <w:rFonts w:ascii="Times New Roman"/>
          <w:sz w:val="20"/>
        </w:rPr>
      </w:pPr>
    </w:p>
    <w:p>
      <w:pPr>
        <w:tabs>
          <w:tab w:val="left" w:pos="13247"/>
        </w:tabs>
        <w:spacing w:before="157" w:after="32"/>
        <w:ind w:left="3236" w:right="0" w:firstLine="0"/>
        <w:jc w:val="left"/>
        <w:rPr>
          <w:b/>
          <w:sz w:val="21"/>
        </w:rPr>
      </w:pPr>
      <w:r>
        <w:rPr>
          <w:b/>
          <w:spacing w:val="2"/>
          <w:w w:val="99"/>
          <w:sz w:val="44"/>
        </w:rPr>
        <w:t>港</w:t>
      </w:r>
      <w:r>
        <w:rPr>
          <w:b/>
          <w:w w:val="99"/>
          <w:sz w:val="44"/>
        </w:rPr>
        <w:t>政</w:t>
      </w:r>
      <w:r>
        <w:rPr>
          <w:b/>
          <w:spacing w:val="-107"/>
          <w:sz w:val="44"/>
        </w:rPr>
        <w:t xml:space="preserve"> </w:t>
      </w:r>
      <w:r>
        <w:rPr>
          <w:b/>
          <w:w w:val="99"/>
          <w:sz w:val="44"/>
        </w:rPr>
        <w:t>9</w:t>
      </w:r>
      <w:r>
        <w:rPr>
          <w:b/>
          <w:spacing w:val="-111"/>
          <w:sz w:val="44"/>
        </w:rPr>
        <w:t xml:space="preserve"> </w:t>
      </w:r>
      <w:r>
        <w:rPr>
          <w:b/>
          <w:spacing w:val="2"/>
          <w:w w:val="99"/>
          <w:sz w:val="44"/>
        </w:rPr>
        <w:t>号执法船工程项目（预算）</w:t>
      </w:r>
      <w:r>
        <w:rPr>
          <w:b/>
          <w:w w:val="99"/>
          <w:sz w:val="44"/>
        </w:rPr>
        <w:t>单</w:t>
      </w:r>
      <w:r>
        <w:rPr>
          <w:b/>
          <w:sz w:val="44"/>
        </w:rPr>
        <w:tab/>
      </w:r>
      <w:r>
        <w:rPr>
          <w:b/>
          <w:w w:val="100"/>
          <w:sz w:val="21"/>
        </w:rPr>
        <w:t>单位</w:t>
      </w:r>
      <w:r>
        <w:rPr>
          <w:b/>
          <w:spacing w:val="-106"/>
          <w:w w:val="100"/>
          <w:sz w:val="21"/>
        </w:rPr>
        <w:t>：</w:t>
      </w:r>
      <w:r>
        <w:rPr>
          <w:b/>
          <w:w w:val="100"/>
          <w:sz w:val="21"/>
        </w:rPr>
        <w:t>（</w:t>
      </w:r>
      <w:r>
        <w:rPr>
          <w:b/>
          <w:spacing w:val="-3"/>
          <w:w w:val="100"/>
          <w:sz w:val="21"/>
        </w:rPr>
        <w:t>元</w:t>
      </w:r>
      <w:r>
        <w:rPr>
          <w:b/>
          <w:w w:val="100"/>
          <w:sz w:val="21"/>
        </w:rPr>
        <w:t>）</w:t>
      </w:r>
    </w:p>
    <w:tbl>
      <w:tblPr>
        <w:tblStyle w:val="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2"/>
        <w:gridCol w:w="11092"/>
        <w:gridCol w:w="1528"/>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2" w:hRule="atLeast"/>
        </w:trPr>
        <w:tc>
          <w:tcPr>
            <w:tcW w:w="1202" w:type="dxa"/>
          </w:tcPr>
          <w:p>
            <w:pPr>
              <w:pStyle w:val="6"/>
              <w:spacing w:before="132"/>
              <w:ind w:left="298" w:right="291"/>
              <w:jc w:val="center"/>
              <w:rPr>
                <w:b/>
                <w:sz w:val="28"/>
              </w:rPr>
            </w:pPr>
            <w:r>
              <w:rPr>
                <w:b/>
                <w:sz w:val="28"/>
              </w:rPr>
              <w:t>序号</w:t>
            </w:r>
          </w:p>
        </w:tc>
        <w:tc>
          <w:tcPr>
            <w:tcW w:w="11092" w:type="dxa"/>
          </w:tcPr>
          <w:p>
            <w:pPr>
              <w:pStyle w:val="6"/>
              <w:tabs>
                <w:tab w:val="left" w:pos="992"/>
                <w:tab w:val="left" w:pos="1835"/>
                <w:tab w:val="left" w:pos="2679"/>
                <w:tab w:val="left" w:pos="3524"/>
                <w:tab w:val="left" w:pos="4367"/>
              </w:tabs>
              <w:spacing w:before="132"/>
              <w:ind w:left="8"/>
              <w:jc w:val="center"/>
              <w:rPr>
                <w:b/>
                <w:sz w:val="28"/>
              </w:rPr>
            </w:pPr>
            <w:r>
              <w:rPr>
                <w:b/>
                <w:sz w:val="28"/>
              </w:rPr>
              <w:t>工</w:t>
            </w:r>
            <w:r>
              <w:rPr>
                <w:b/>
                <w:sz w:val="28"/>
              </w:rPr>
              <w:tab/>
            </w:r>
            <w:r>
              <w:rPr>
                <w:b/>
                <w:sz w:val="28"/>
              </w:rPr>
              <w:t>程</w:t>
            </w:r>
            <w:r>
              <w:rPr>
                <w:b/>
                <w:sz w:val="28"/>
              </w:rPr>
              <w:tab/>
            </w:r>
            <w:r>
              <w:rPr>
                <w:b/>
                <w:sz w:val="28"/>
              </w:rPr>
              <w:t>内</w:t>
            </w:r>
            <w:r>
              <w:rPr>
                <w:b/>
                <w:sz w:val="28"/>
              </w:rPr>
              <w:tab/>
            </w:r>
            <w:r>
              <w:rPr>
                <w:b/>
                <w:sz w:val="28"/>
              </w:rPr>
              <w:t>容</w:t>
            </w:r>
            <w:r>
              <w:rPr>
                <w:b/>
                <w:sz w:val="28"/>
              </w:rPr>
              <w:tab/>
            </w:r>
            <w:r>
              <w:rPr>
                <w:b/>
                <w:sz w:val="28"/>
              </w:rPr>
              <w:t>摘</w:t>
            </w:r>
            <w:r>
              <w:rPr>
                <w:b/>
                <w:sz w:val="28"/>
              </w:rPr>
              <w:tab/>
            </w:r>
            <w:r>
              <w:rPr>
                <w:b/>
                <w:sz w:val="28"/>
              </w:rPr>
              <w:t>要</w:t>
            </w:r>
          </w:p>
        </w:tc>
        <w:tc>
          <w:tcPr>
            <w:tcW w:w="1528" w:type="dxa"/>
          </w:tcPr>
          <w:p>
            <w:pPr>
              <w:pStyle w:val="6"/>
              <w:spacing w:before="132"/>
              <w:ind w:right="472"/>
              <w:jc w:val="right"/>
              <w:rPr>
                <w:b/>
                <w:sz w:val="28"/>
              </w:rPr>
            </w:pPr>
            <w:r>
              <w:rPr>
                <w:b/>
                <w:w w:val="95"/>
                <w:sz w:val="28"/>
              </w:rPr>
              <w:t>金额</w:t>
            </w:r>
          </w:p>
        </w:tc>
        <w:tc>
          <w:tcPr>
            <w:tcW w:w="1194" w:type="dxa"/>
          </w:tcPr>
          <w:p>
            <w:pPr>
              <w:pStyle w:val="6"/>
              <w:spacing w:before="132"/>
              <w:ind w:left="248"/>
              <w:rPr>
                <w:b/>
                <w:sz w:val="28"/>
              </w:rPr>
            </w:pPr>
            <w:r>
              <w:rPr>
                <w:b/>
                <w:sz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rPr>
                <w:rFonts w:ascii="Times New Roman"/>
                <w:sz w:val="24"/>
              </w:rPr>
            </w:pPr>
          </w:p>
        </w:tc>
        <w:tc>
          <w:tcPr>
            <w:tcW w:w="11092" w:type="dxa"/>
          </w:tcPr>
          <w:p>
            <w:pPr>
              <w:pStyle w:val="6"/>
              <w:spacing w:before="38"/>
              <w:ind w:left="108"/>
              <w:rPr>
                <w:b/>
                <w:sz w:val="24"/>
              </w:rPr>
            </w:pPr>
            <w:r>
              <w:rPr>
                <w:b/>
                <w:sz w:val="24"/>
              </w:rPr>
              <w:t>专项项目工程</w:t>
            </w:r>
          </w:p>
        </w:tc>
        <w:tc>
          <w:tcPr>
            <w:tcW w:w="1528" w:type="dxa"/>
          </w:tcPr>
          <w:p>
            <w:pPr>
              <w:pStyle w:val="6"/>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1</w:t>
            </w:r>
          </w:p>
        </w:tc>
        <w:tc>
          <w:tcPr>
            <w:tcW w:w="11092" w:type="dxa"/>
          </w:tcPr>
          <w:p>
            <w:pPr>
              <w:pStyle w:val="6"/>
              <w:spacing w:before="38"/>
              <w:ind w:left="108"/>
              <w:rPr>
                <w:sz w:val="24"/>
              </w:rPr>
            </w:pPr>
            <w:r>
              <w:rPr>
                <w:sz w:val="24"/>
              </w:rPr>
              <w:t xml:space="preserve">主机康明斯 </w:t>
            </w:r>
            <w:r>
              <w:rPr>
                <w:rFonts w:ascii="Times New Roman" w:hAnsi="Times New Roman" w:eastAsia="Times New Roman"/>
                <w:sz w:val="24"/>
              </w:rPr>
              <w:t>NTA855-M350</w:t>
            </w:r>
            <w:r>
              <w:rPr>
                <w:rFonts w:ascii="Arial" w:hAnsi="Arial" w:eastAsia="Arial"/>
                <w:sz w:val="24"/>
              </w:rPr>
              <w:t>×</w:t>
            </w:r>
            <w:r>
              <w:rPr>
                <w:rFonts w:ascii="Times New Roman" w:hAnsi="Times New Roman" w:eastAsia="Times New Roman"/>
                <w:sz w:val="24"/>
              </w:rPr>
              <w:t xml:space="preserve">1 </w:t>
            </w:r>
            <w:r>
              <w:rPr>
                <w:sz w:val="24"/>
              </w:rPr>
              <w:t>台常规保养。</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202" w:type="dxa"/>
          </w:tcPr>
          <w:p>
            <w:pPr>
              <w:pStyle w:val="6"/>
              <w:spacing w:before="54"/>
              <w:ind w:left="298" w:right="288"/>
              <w:jc w:val="center"/>
              <w:rPr>
                <w:rFonts w:ascii="Times New Roman"/>
                <w:sz w:val="24"/>
              </w:rPr>
            </w:pPr>
            <w:r>
              <w:rPr>
                <w:rFonts w:ascii="Times New Roman"/>
                <w:sz w:val="24"/>
              </w:rPr>
              <w:t>1.1</w:t>
            </w:r>
          </w:p>
        </w:tc>
        <w:tc>
          <w:tcPr>
            <w:tcW w:w="11092" w:type="dxa"/>
          </w:tcPr>
          <w:p>
            <w:pPr>
              <w:pStyle w:val="6"/>
              <w:spacing w:before="38"/>
              <w:ind w:left="108"/>
              <w:rPr>
                <w:sz w:val="24"/>
              </w:rPr>
            </w:pPr>
            <w:r>
              <w:rPr>
                <w:sz w:val="24"/>
              </w:rPr>
              <w:t>更换机油（康明斯蓝至尊机油）</w:t>
            </w:r>
            <w:r>
              <w:rPr>
                <w:rFonts w:ascii="Times New Roman" w:hAnsi="Times New Roman" w:eastAsia="Times New Roman"/>
                <w:sz w:val="24"/>
              </w:rPr>
              <w:t>18L</w:t>
            </w:r>
            <w:r>
              <w:rPr>
                <w:rFonts w:ascii="Arial" w:hAnsi="Arial" w:eastAsia="Arial"/>
                <w:sz w:val="24"/>
              </w:rPr>
              <w:t>×</w:t>
            </w:r>
            <w:r>
              <w:rPr>
                <w:rFonts w:ascii="Times New Roman" w:hAnsi="Times New Roman" w:eastAsia="Times New Roman"/>
                <w:sz w:val="24"/>
              </w:rPr>
              <w:t xml:space="preserve">3 </w:t>
            </w:r>
            <w:r>
              <w:rPr>
                <w:sz w:val="24"/>
              </w:rPr>
              <w:t>桶。</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298" w:right="288"/>
              <w:jc w:val="center"/>
              <w:rPr>
                <w:rFonts w:ascii="Times New Roman"/>
                <w:sz w:val="24"/>
              </w:rPr>
            </w:pPr>
            <w:r>
              <w:rPr>
                <w:rFonts w:ascii="Times New Roman"/>
                <w:sz w:val="24"/>
              </w:rPr>
              <w:t>1.2</w:t>
            </w:r>
          </w:p>
        </w:tc>
        <w:tc>
          <w:tcPr>
            <w:tcW w:w="11092" w:type="dxa"/>
          </w:tcPr>
          <w:p>
            <w:pPr>
              <w:pStyle w:val="6"/>
              <w:spacing w:before="38"/>
              <w:ind w:left="108"/>
              <w:rPr>
                <w:sz w:val="24"/>
              </w:rPr>
            </w:pPr>
            <w:r>
              <w:rPr>
                <w:sz w:val="24"/>
              </w:rPr>
              <w:t>更换机油滤器、精粗柴油滤器、水滤器、空气滤器。</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2</w:t>
            </w:r>
          </w:p>
        </w:tc>
        <w:tc>
          <w:tcPr>
            <w:tcW w:w="11092" w:type="dxa"/>
          </w:tcPr>
          <w:p>
            <w:pPr>
              <w:pStyle w:val="6"/>
              <w:spacing w:before="38"/>
              <w:ind w:left="108"/>
              <w:rPr>
                <w:sz w:val="24"/>
              </w:rPr>
            </w:pPr>
            <w:r>
              <w:rPr>
                <w:sz w:val="24"/>
              </w:rPr>
              <w:t>检修主机柴油浮子油箱漏油故障，更换故障配件。</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3</w:t>
            </w:r>
          </w:p>
        </w:tc>
        <w:tc>
          <w:tcPr>
            <w:tcW w:w="11092" w:type="dxa"/>
          </w:tcPr>
          <w:p>
            <w:pPr>
              <w:pStyle w:val="6"/>
              <w:spacing w:before="38"/>
              <w:ind w:left="108"/>
              <w:rPr>
                <w:sz w:val="24"/>
              </w:rPr>
            </w:pPr>
            <w:r>
              <w:rPr>
                <w:sz w:val="24"/>
              </w:rPr>
              <w:t>检修主机机油压力读数异常原因。（更换机旁仪表控制箱）</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4</w:t>
            </w:r>
          </w:p>
        </w:tc>
        <w:tc>
          <w:tcPr>
            <w:tcW w:w="11092" w:type="dxa"/>
          </w:tcPr>
          <w:p>
            <w:pPr>
              <w:pStyle w:val="6"/>
              <w:spacing w:before="38"/>
              <w:ind w:left="108"/>
              <w:rPr>
                <w:sz w:val="24"/>
              </w:rPr>
            </w:pPr>
            <w:r>
              <w:rPr>
                <w:sz w:val="24"/>
              </w:rPr>
              <w:t xml:space="preserve">发电机组柴油机 </w:t>
            </w:r>
            <w:r>
              <w:rPr>
                <w:rFonts w:ascii="Times New Roman" w:hAnsi="Times New Roman" w:eastAsia="Times New Roman"/>
                <w:sz w:val="24"/>
              </w:rPr>
              <w:t>D226B-3CD</w:t>
            </w:r>
            <w:r>
              <w:rPr>
                <w:rFonts w:ascii="Arial" w:hAnsi="Arial" w:eastAsia="Arial"/>
                <w:sz w:val="24"/>
              </w:rPr>
              <w:t>×</w:t>
            </w:r>
            <w:r>
              <w:rPr>
                <w:rFonts w:ascii="Times New Roman" w:hAnsi="Times New Roman" w:eastAsia="Times New Roman"/>
                <w:sz w:val="24"/>
              </w:rPr>
              <w:t xml:space="preserve">1 </w:t>
            </w:r>
            <w:r>
              <w:rPr>
                <w:sz w:val="24"/>
              </w:rPr>
              <w:t>台常规保养。</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298" w:right="288"/>
              <w:jc w:val="center"/>
              <w:rPr>
                <w:rFonts w:ascii="Times New Roman"/>
                <w:sz w:val="24"/>
              </w:rPr>
            </w:pPr>
            <w:r>
              <w:rPr>
                <w:rFonts w:ascii="Times New Roman"/>
                <w:sz w:val="24"/>
              </w:rPr>
              <w:t>4.1</w:t>
            </w:r>
          </w:p>
        </w:tc>
        <w:tc>
          <w:tcPr>
            <w:tcW w:w="11092" w:type="dxa"/>
          </w:tcPr>
          <w:p>
            <w:pPr>
              <w:pStyle w:val="6"/>
              <w:spacing w:before="38"/>
              <w:ind w:left="108"/>
              <w:rPr>
                <w:sz w:val="24"/>
              </w:rPr>
            </w:pPr>
            <w:r>
              <w:rPr>
                <w:sz w:val="24"/>
              </w:rPr>
              <w:t>更换机油（康明斯蓝至尊机油）</w:t>
            </w:r>
            <w:r>
              <w:rPr>
                <w:rFonts w:ascii="Times New Roman" w:hAnsi="Times New Roman" w:eastAsia="Times New Roman"/>
                <w:sz w:val="24"/>
              </w:rPr>
              <w:t>18L</w:t>
            </w:r>
            <w:r>
              <w:rPr>
                <w:rFonts w:ascii="Arial" w:hAnsi="Arial" w:eastAsia="Arial"/>
                <w:sz w:val="24"/>
              </w:rPr>
              <w:t>×</w:t>
            </w:r>
            <w:r>
              <w:rPr>
                <w:rFonts w:ascii="Times New Roman" w:hAnsi="Times New Roman" w:eastAsia="Times New Roman"/>
                <w:sz w:val="24"/>
              </w:rPr>
              <w:t xml:space="preserve">1 </w:t>
            </w:r>
            <w:r>
              <w:rPr>
                <w:spacing w:val="-60"/>
                <w:sz w:val="24"/>
              </w:rPr>
              <w:t>桶。</w:t>
            </w:r>
            <w:r>
              <w:rPr>
                <w:sz w:val="24"/>
              </w:rPr>
              <w:t>（</w:t>
            </w:r>
            <w:r>
              <w:rPr>
                <w:rFonts w:ascii="Times New Roman" w:hAnsi="Times New Roman" w:eastAsia="Times New Roman"/>
                <w:sz w:val="24"/>
              </w:rPr>
              <w:t xml:space="preserve">1 </w:t>
            </w:r>
            <w:r>
              <w:rPr>
                <w:sz w:val="24"/>
              </w:rPr>
              <w:t>台）</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202" w:type="dxa"/>
          </w:tcPr>
          <w:p>
            <w:pPr>
              <w:pStyle w:val="6"/>
              <w:spacing w:before="54"/>
              <w:ind w:left="298" w:right="288"/>
              <w:jc w:val="center"/>
              <w:rPr>
                <w:rFonts w:ascii="Times New Roman"/>
                <w:sz w:val="24"/>
              </w:rPr>
            </w:pPr>
            <w:r>
              <w:rPr>
                <w:rFonts w:ascii="Times New Roman"/>
                <w:sz w:val="24"/>
              </w:rPr>
              <w:t>4.2</w:t>
            </w:r>
          </w:p>
        </w:tc>
        <w:tc>
          <w:tcPr>
            <w:tcW w:w="11092" w:type="dxa"/>
          </w:tcPr>
          <w:p>
            <w:pPr>
              <w:pStyle w:val="6"/>
              <w:spacing w:before="38"/>
              <w:ind w:left="108"/>
              <w:rPr>
                <w:sz w:val="24"/>
              </w:rPr>
            </w:pPr>
            <w:r>
              <w:rPr>
                <w:sz w:val="24"/>
              </w:rPr>
              <w:t xml:space="preserve">更换机油滤器、柴油滤器、空气滤器 </w:t>
            </w:r>
            <w:r>
              <w:rPr>
                <w:rFonts w:ascii="Times New Roman" w:eastAsia="Times New Roman"/>
                <w:sz w:val="24"/>
              </w:rPr>
              <w:t xml:space="preserve">1 </w:t>
            </w:r>
            <w:r>
              <w:rPr>
                <w:sz w:val="24"/>
              </w:rPr>
              <w:t>台套。</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5</w:t>
            </w:r>
          </w:p>
        </w:tc>
        <w:tc>
          <w:tcPr>
            <w:tcW w:w="11092" w:type="dxa"/>
          </w:tcPr>
          <w:p>
            <w:pPr>
              <w:pStyle w:val="6"/>
              <w:spacing w:before="38"/>
              <w:ind w:left="108"/>
              <w:rPr>
                <w:sz w:val="24"/>
              </w:rPr>
            </w:pPr>
            <w:r>
              <w:rPr>
                <w:sz w:val="24"/>
              </w:rPr>
              <w:t>拆装更换主配电柜 1 号发电机组供电塑料外壳式断路器</w:t>
            </w:r>
            <w:r>
              <w:rPr>
                <w:rFonts w:ascii="Arial" w:hAnsi="Arial" w:eastAsia="Arial"/>
                <w:sz w:val="24"/>
              </w:rPr>
              <w:t>×</w:t>
            </w:r>
            <w:r>
              <w:rPr>
                <w:sz w:val="24"/>
              </w:rPr>
              <w:t>1 套并检查输出、输入电源线路。</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6</w:t>
            </w:r>
          </w:p>
        </w:tc>
        <w:tc>
          <w:tcPr>
            <w:tcW w:w="11092" w:type="dxa"/>
          </w:tcPr>
          <w:p>
            <w:pPr>
              <w:pStyle w:val="6"/>
              <w:spacing w:before="38"/>
              <w:ind w:left="108"/>
              <w:rPr>
                <w:sz w:val="24"/>
              </w:rPr>
            </w:pPr>
            <w:r>
              <w:rPr>
                <w:sz w:val="24"/>
              </w:rPr>
              <w:t>生活污水处理装置检修、效用试验。</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7</w:t>
            </w:r>
          </w:p>
        </w:tc>
        <w:tc>
          <w:tcPr>
            <w:tcW w:w="11092" w:type="dxa"/>
          </w:tcPr>
          <w:p>
            <w:pPr>
              <w:pStyle w:val="6"/>
              <w:spacing w:before="38"/>
              <w:ind w:left="108"/>
              <w:rPr>
                <w:sz w:val="24"/>
              </w:rPr>
            </w:pPr>
            <w:r>
              <w:rPr>
                <w:sz w:val="24"/>
              </w:rPr>
              <w:t>磁罗经按船级社要求进行校验并出报告。</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spacing w:before="54"/>
              <w:ind w:left="7"/>
              <w:jc w:val="center"/>
              <w:rPr>
                <w:rFonts w:ascii="Times New Roman"/>
                <w:sz w:val="24"/>
              </w:rPr>
            </w:pPr>
            <w:r>
              <w:rPr>
                <w:rFonts w:ascii="Times New Roman"/>
                <w:sz w:val="24"/>
              </w:rPr>
              <w:t>8</w:t>
            </w:r>
          </w:p>
        </w:tc>
        <w:tc>
          <w:tcPr>
            <w:tcW w:w="11092" w:type="dxa"/>
          </w:tcPr>
          <w:p>
            <w:pPr>
              <w:pStyle w:val="6"/>
              <w:spacing w:before="38"/>
              <w:ind w:left="108"/>
              <w:rPr>
                <w:sz w:val="24"/>
              </w:rPr>
            </w:pPr>
            <w:r>
              <w:rPr>
                <w:sz w:val="24"/>
              </w:rPr>
              <w:t>提交船舶办理年度检验相关资料至船级社部门及接送验船师现场检验等相关辅助费用。</w:t>
            </w:r>
          </w:p>
        </w:tc>
        <w:tc>
          <w:tcPr>
            <w:tcW w:w="1528" w:type="dxa"/>
          </w:tcPr>
          <w:p>
            <w:pPr>
              <w:pStyle w:val="6"/>
              <w:spacing w:before="54"/>
              <w:ind w:right="45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rPr>
                <w:rFonts w:ascii="Times New Roman"/>
                <w:sz w:val="24"/>
              </w:rPr>
            </w:pPr>
          </w:p>
        </w:tc>
        <w:tc>
          <w:tcPr>
            <w:tcW w:w="11092" w:type="dxa"/>
          </w:tcPr>
          <w:p>
            <w:pPr>
              <w:pStyle w:val="6"/>
              <w:spacing w:before="38"/>
              <w:ind w:left="108"/>
              <w:rPr>
                <w:sz w:val="24"/>
              </w:rPr>
            </w:pPr>
            <w:r>
              <w:rPr>
                <w:sz w:val="24"/>
              </w:rPr>
              <w:t>小计</w:t>
            </w:r>
          </w:p>
        </w:tc>
        <w:tc>
          <w:tcPr>
            <w:tcW w:w="1528" w:type="dxa"/>
          </w:tcPr>
          <w:p>
            <w:pPr>
              <w:pStyle w:val="6"/>
              <w:spacing w:before="59"/>
              <w:ind w:right="451"/>
              <w:jc w:val="right"/>
              <w:rPr>
                <w:rFonts w:ascii="Times New Roman"/>
                <w:b/>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202" w:type="dxa"/>
          </w:tcPr>
          <w:p>
            <w:pPr>
              <w:pStyle w:val="6"/>
              <w:rPr>
                <w:rFonts w:ascii="Times New Roman"/>
                <w:sz w:val="24"/>
              </w:rPr>
            </w:pPr>
          </w:p>
        </w:tc>
        <w:tc>
          <w:tcPr>
            <w:tcW w:w="11092" w:type="dxa"/>
          </w:tcPr>
          <w:p>
            <w:pPr>
              <w:pStyle w:val="6"/>
              <w:spacing w:before="53"/>
              <w:ind w:left="108"/>
              <w:rPr>
                <w:rFonts w:hint="eastAsia" w:ascii="宋体" w:eastAsia="宋体"/>
                <w:sz w:val="22"/>
              </w:rPr>
            </w:pPr>
            <w:r>
              <w:rPr>
                <w:rFonts w:hint="eastAsia" w:ascii="宋体" w:eastAsia="宋体"/>
                <w:sz w:val="22"/>
              </w:rPr>
              <w:t xml:space="preserve">税 13% </w:t>
            </w:r>
          </w:p>
        </w:tc>
        <w:tc>
          <w:tcPr>
            <w:tcW w:w="1528" w:type="dxa"/>
          </w:tcPr>
          <w:p>
            <w:pPr>
              <w:pStyle w:val="6"/>
              <w:spacing w:before="54"/>
              <w:ind w:right="511"/>
              <w:jc w:val="right"/>
              <w:rPr>
                <w:rFonts w:ascii="Times New Roman"/>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rPr>
                <w:rFonts w:ascii="Times New Roman"/>
                <w:sz w:val="24"/>
              </w:rPr>
            </w:pPr>
          </w:p>
        </w:tc>
        <w:tc>
          <w:tcPr>
            <w:tcW w:w="11092" w:type="dxa"/>
          </w:tcPr>
          <w:p>
            <w:pPr>
              <w:pStyle w:val="6"/>
              <w:spacing w:before="38"/>
              <w:ind w:left="108"/>
              <w:rPr>
                <w:b/>
                <w:sz w:val="24"/>
              </w:rPr>
            </w:pPr>
            <w:r>
              <w:rPr>
                <w:b/>
                <w:sz w:val="24"/>
              </w:rPr>
              <w:t>含税价格</w:t>
            </w:r>
          </w:p>
        </w:tc>
        <w:tc>
          <w:tcPr>
            <w:tcW w:w="1528" w:type="dxa"/>
          </w:tcPr>
          <w:p>
            <w:pPr>
              <w:pStyle w:val="6"/>
              <w:spacing w:before="59"/>
              <w:ind w:right="451"/>
              <w:jc w:val="right"/>
              <w:rPr>
                <w:rFonts w:ascii="Times New Roman"/>
                <w:b/>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2" w:type="dxa"/>
          </w:tcPr>
          <w:p>
            <w:pPr>
              <w:pStyle w:val="6"/>
              <w:rPr>
                <w:rFonts w:ascii="Times New Roman"/>
                <w:sz w:val="24"/>
              </w:rPr>
            </w:pPr>
          </w:p>
        </w:tc>
        <w:tc>
          <w:tcPr>
            <w:tcW w:w="11092" w:type="dxa"/>
          </w:tcPr>
          <w:p>
            <w:pPr>
              <w:pStyle w:val="6"/>
              <w:spacing w:before="38"/>
              <w:ind w:left="108"/>
              <w:rPr>
                <w:b/>
                <w:sz w:val="24"/>
              </w:rPr>
            </w:pPr>
            <w:r>
              <w:rPr>
                <w:b/>
                <w:sz w:val="24"/>
              </w:rPr>
              <w:t>报价</w:t>
            </w:r>
            <w:bookmarkStart w:id="0" w:name="_GoBack"/>
            <w:bookmarkEnd w:id="0"/>
          </w:p>
        </w:tc>
        <w:tc>
          <w:tcPr>
            <w:tcW w:w="1528" w:type="dxa"/>
          </w:tcPr>
          <w:p>
            <w:pPr>
              <w:pStyle w:val="6"/>
              <w:spacing w:before="59"/>
              <w:ind w:right="451"/>
              <w:jc w:val="right"/>
              <w:rPr>
                <w:rFonts w:ascii="Times New Roman"/>
                <w:b/>
                <w:sz w:val="24"/>
              </w:rPr>
            </w:pPr>
          </w:p>
        </w:tc>
        <w:tc>
          <w:tcPr>
            <w:tcW w:w="1194" w:type="dxa"/>
          </w:tcPr>
          <w:p>
            <w:pPr>
              <w:pStyle w:val="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02" w:type="dxa"/>
          </w:tcPr>
          <w:p>
            <w:pPr>
              <w:pStyle w:val="6"/>
              <w:rPr>
                <w:rFonts w:ascii="Times New Roman"/>
                <w:sz w:val="24"/>
              </w:rPr>
            </w:pPr>
          </w:p>
        </w:tc>
        <w:tc>
          <w:tcPr>
            <w:tcW w:w="11092" w:type="dxa"/>
          </w:tcPr>
          <w:p>
            <w:pPr>
              <w:pStyle w:val="6"/>
              <w:rPr>
                <w:rFonts w:ascii="Times New Roman"/>
                <w:sz w:val="24"/>
              </w:rPr>
            </w:pPr>
          </w:p>
        </w:tc>
        <w:tc>
          <w:tcPr>
            <w:tcW w:w="2722" w:type="dxa"/>
            <w:gridSpan w:val="2"/>
          </w:tcPr>
          <w:p>
            <w:pPr>
              <w:pStyle w:val="6"/>
              <w:rPr>
                <w:rFonts w:ascii="Times New Roman"/>
                <w:sz w:val="24"/>
              </w:rPr>
            </w:pPr>
          </w:p>
        </w:tc>
      </w:tr>
    </w:tbl>
    <w:p/>
    <w:sectPr>
      <w:type w:val="continuous"/>
      <w:pgSz w:w="16840" w:h="11910" w:orient="landscape"/>
      <w:pgMar w:top="1100" w:right="680" w:bottom="280" w:left="9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122190"/>
    <w:rsid w:val="3FAE1099"/>
    <w:rsid w:val="5D3F1EE5"/>
    <w:rsid w:val="64F75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character" w:default="1" w:styleId="3">
    <w:name w:val="Default Paragraph Font"/>
    <w:semiHidden/>
    <w:unhideWhenUsed/>
    <w:uiPriority w:val="1"/>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2"/>
    <w:tblPr>
      <w:tblCellMar>
        <w:top w:w="0" w:type="dxa"/>
        <w:left w:w="0" w:type="dxa"/>
        <w:bottom w:w="0" w:type="dxa"/>
        <w:right w:w="0" w:type="dxa"/>
      </w:tblCellMar>
    </w:tblPr>
  </w:style>
  <w:style w:type="paragraph" w:styleId="5">
    <w:name w:val="List Paragraph"/>
    <w:basedOn w:val="1"/>
    <w:qFormat/>
    <w:uiPriority w:val="1"/>
    <w:rPr>
      <w:lang w:val="zh-CN" w:eastAsia="zh-CN" w:bidi="zh-CN"/>
    </w:rPr>
  </w:style>
  <w:style w:type="paragraph" w:customStyle="1" w:styleId="6">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2020-05-18T03:26:00Z</dcterms:created>
  <dc:creator>微软用户</dc:creator>
  <cp:lastModifiedBy>坚</cp:lastModifiedBy>
  <dcterms:modified xsi:type="dcterms:W3CDTF">2020-05-18T03:28:36Z</dcterms:modified>
  <dc:title>工程总号：                                                    佛山市南海珠峰造船有限公司                                           第 1 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15 Word 版</vt:lpwstr>
  </property>
  <property fmtid="{D5CDD505-2E9C-101B-9397-08002B2CF9AE}" pid="4" name="LastSaved">
    <vt:filetime>2020-05-18T00:00:00Z</vt:filetime>
  </property>
  <property fmtid="{D5CDD505-2E9C-101B-9397-08002B2CF9AE}" pid="5" name="KSOProductBuildVer">
    <vt:lpwstr>2052-11.1.0.9584</vt:lpwstr>
  </property>
</Properties>
</file>