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7" w:name="_GoBack"/>
      <w:bookmarkEnd w:id="7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广州港海铁联运奖励实施细则</w:t>
      </w: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根据《广州市精准支持现代物流高质量发展的若干措施》》（穗府规〔2021〕1号）《广州市精准支持现代物流高质量发展专项资金管理办法》，制定以下海铁联运奖励实施细则。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bookmark67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扶持奖励条件、标准及申请材料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（一）奖励的条件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考核年度内，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收、发货人通过广州港码头装卸并经铁路（南沙港、南沙港南、黄埔、下元站点）集疏运的集装箱，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且箱量不少于300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标准箱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。同一铁路货物运单仅奖励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发货</w:t>
      </w:r>
      <w:r>
        <w:rPr>
          <w:rFonts w:hint="eastAsia" w:ascii="仿宋_GB2312" w:hAnsi="仿宋_GB2312" w:eastAsia="仿宋_GB2312" w:cs="仿宋_GB2312"/>
          <w:sz w:val="32"/>
          <w:szCs w:val="32"/>
        </w:rPr>
        <w:t>人或者收货人其中一方。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（二）奖励方法和标准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bookmark68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收、发货地在省内的，每标准箱奖励250元（含重箱、空箱）；收、发货地在省外的，每标准箱奖励350元（含重箱、空箱）。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" w:name="bookmark70"/>
      <w:bookmarkEnd w:id="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（三）奖励的申请材料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bookmark71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1.申请书。</w:t>
      </w:r>
    </w:p>
    <w:p>
      <w:pPr>
        <w:spacing w:beforeLines="-2147483648" w:afterLines="-2147483648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4" w:name="bookmark72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如委托代收奖励金的，委托代理人同时提交委托授权书原件（双方签字盖章）。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bookmark75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铁路部门有关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海铁</w:t>
      </w:r>
      <w:r>
        <w:rPr>
          <w:rFonts w:hint="eastAsia" w:ascii="仿宋_GB2312" w:hAnsi="仿宋_GB2312" w:eastAsia="仿宋_GB2312" w:cs="仿宋_GB2312"/>
          <w:sz w:val="32"/>
          <w:szCs w:val="32"/>
        </w:rPr>
        <w:t>联运箱量数据统计资料（原件）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港口经营人对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海铁</w:t>
      </w:r>
      <w:r>
        <w:rPr>
          <w:rFonts w:hint="eastAsia" w:ascii="仿宋_GB2312" w:hAnsi="仿宋_GB2312" w:eastAsia="仿宋_GB2312" w:cs="仿宋_GB2312"/>
          <w:sz w:val="32"/>
          <w:szCs w:val="32"/>
        </w:rPr>
        <w:t>联运箱量完成情况证明（原件）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5.发货人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（收货人）同意收货人（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发货人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）申请奖励的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委托书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bookmark77"/>
      <w:bookmarkEnd w:id="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6.以上各项材料加盖申请人公章，多页的加盖骑缝章。</w:t>
      </w:r>
    </w:p>
    <w:p>
      <w:pPr>
        <w:pStyle w:val="2"/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</w:rPr>
        <w:t>奖励实施程序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申请人依据自己业务开展情况，自愿申请，达</w:t>
      </w:r>
    </w:p>
    <w:p>
      <w:pPr>
        <w:spacing w:beforeLines="0" w:afterLines="0" w:line="5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到奖励标准而未在规定的时限内申请的，不予奖励。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在广州市港务局网站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以及政府门户网站“营商广州”专栏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对社会公开，申请人按本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的申请奖励材料要求准备材料提交广州市港务局审核。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广州市港务局对申请材料通过第三方验证后拟</w:t>
      </w:r>
    </w:p>
    <w:p>
      <w:pPr>
        <w:spacing w:beforeLines="0" w:afterLines="0" w:line="5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定奖励方案，并在广州市港务局网站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以及政府门户网站“营商广州”专栏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公示5 个工作日。如公示期满无异议，经市政府批准后，由广州市港务局按照国库集中支付制度负责奖励资金的发放工作。公示期内有异议的申请人将暂缓发放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资金，广州市港务局在30 日内进行复核，如异议属实则取消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beforeLines="0" w:afterLines="0"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监督管理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申请人提交的申请材料存在弄虚作假行为的，三年内不进行奖励，并按规定追回奖励资金，涉嫌违法的，依法予以处理。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有关部门及其工作人员在资金审核、验证、编</w:t>
      </w:r>
    </w:p>
    <w:p>
      <w:pPr>
        <w:spacing w:beforeLines="0" w:afterLines="0" w:line="5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制扶持奖励方案和发放过程中，存在滥用职权、玩忽职守、徇私舞弊等违法违纪行为的，由有权机关责令改正，对负有责任的领导人员和直接责任人员依法给予处分；构成犯罪的，依法追究刑事责任。</w:t>
      </w:r>
    </w:p>
    <w:p>
      <w:pPr>
        <w:spacing w:beforeLines="0" w:afterLines="0"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附则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统计时间为当年1 月1 日至当年12 月31 日，自2022 年起连续实施三个年度，相关企业申请时限为年度结束后次年的1 月1 日至1 月31 日，超过申请时限的不予受理。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（十）若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、省、市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有新政策要求时按新要求执行。</w:t>
      </w:r>
    </w:p>
    <w:p>
      <w:pPr>
        <w:spacing w:beforeLines="0" w:afterLines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之日起实施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，有效期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。如本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有效期届满，相关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资金拨付尚未结束的，应继续完成资金拨付。</w:t>
      </w:r>
    </w:p>
    <w:p>
      <w:pP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</w:p>
    <w:p>
      <w:pPr>
        <w:pStyle w:val="7"/>
        <w:rPr>
          <w:rFonts w:hint="default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C7012"/>
    <w:rsid w:val="022240D5"/>
    <w:rsid w:val="03761533"/>
    <w:rsid w:val="07367A1E"/>
    <w:rsid w:val="0B843F26"/>
    <w:rsid w:val="0C684D26"/>
    <w:rsid w:val="0D52793C"/>
    <w:rsid w:val="10C22CD2"/>
    <w:rsid w:val="11537ED4"/>
    <w:rsid w:val="119B3295"/>
    <w:rsid w:val="12F55505"/>
    <w:rsid w:val="145F4277"/>
    <w:rsid w:val="16950A44"/>
    <w:rsid w:val="17351C5B"/>
    <w:rsid w:val="179C37C6"/>
    <w:rsid w:val="18E4342B"/>
    <w:rsid w:val="1A1C0AE1"/>
    <w:rsid w:val="1D4A6EA9"/>
    <w:rsid w:val="1DCA54E9"/>
    <w:rsid w:val="1ECD7180"/>
    <w:rsid w:val="202210D7"/>
    <w:rsid w:val="216A6D10"/>
    <w:rsid w:val="225D6910"/>
    <w:rsid w:val="23CA7A3C"/>
    <w:rsid w:val="250721DF"/>
    <w:rsid w:val="258E6BC8"/>
    <w:rsid w:val="26130EB6"/>
    <w:rsid w:val="29C14087"/>
    <w:rsid w:val="2A072F6D"/>
    <w:rsid w:val="33057B84"/>
    <w:rsid w:val="390D584C"/>
    <w:rsid w:val="3B222106"/>
    <w:rsid w:val="3C48038A"/>
    <w:rsid w:val="3DE60C04"/>
    <w:rsid w:val="3F245B6B"/>
    <w:rsid w:val="40C651B2"/>
    <w:rsid w:val="42075CE5"/>
    <w:rsid w:val="421029CA"/>
    <w:rsid w:val="474F402C"/>
    <w:rsid w:val="4B4F04E2"/>
    <w:rsid w:val="4C4C2576"/>
    <w:rsid w:val="4C7D6A2F"/>
    <w:rsid w:val="4CEE11A5"/>
    <w:rsid w:val="4D6A571C"/>
    <w:rsid w:val="4F691E4F"/>
    <w:rsid w:val="4FE8527B"/>
    <w:rsid w:val="501503B0"/>
    <w:rsid w:val="50D66F18"/>
    <w:rsid w:val="55FB4B6F"/>
    <w:rsid w:val="58D41C07"/>
    <w:rsid w:val="5A0F3DFF"/>
    <w:rsid w:val="5A246ADF"/>
    <w:rsid w:val="5CE03BCF"/>
    <w:rsid w:val="5FFC233A"/>
    <w:rsid w:val="60ED1F82"/>
    <w:rsid w:val="618D47B7"/>
    <w:rsid w:val="619F5877"/>
    <w:rsid w:val="630410CA"/>
    <w:rsid w:val="64F63818"/>
    <w:rsid w:val="64FB7876"/>
    <w:rsid w:val="65844A37"/>
    <w:rsid w:val="66AF5804"/>
    <w:rsid w:val="68D026F0"/>
    <w:rsid w:val="6AD0101A"/>
    <w:rsid w:val="6CFA6B0E"/>
    <w:rsid w:val="6D180479"/>
    <w:rsid w:val="6E081C0D"/>
    <w:rsid w:val="6E0A6517"/>
    <w:rsid w:val="6FFA6EEE"/>
    <w:rsid w:val="714B0928"/>
    <w:rsid w:val="72E51B1F"/>
    <w:rsid w:val="753634C8"/>
    <w:rsid w:val="75430BD1"/>
    <w:rsid w:val="76D6712C"/>
    <w:rsid w:val="776843E9"/>
    <w:rsid w:val="77A6438B"/>
    <w:rsid w:val="7D7B5563"/>
    <w:rsid w:val="7D8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黑体" w:eastAsia="楷体_GB2312" w:cs="Times New Roman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1041</Words>
  <Characters>1063</Characters>
  <Lines>0</Lines>
  <Paragraphs>0</Paragraphs>
  <TotalTime>24</TotalTime>
  <ScaleCrop>false</ScaleCrop>
  <LinksUpToDate>false</LinksUpToDate>
  <CharactersWithSpaces>1074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2022-03-02T07:58:00Z</dcterms:created>
  <dc:creator>广州港铁路蔡继波</dc:creator>
  <cp:lastModifiedBy>25332</cp:lastModifiedBy>
  <dcterms:modified xsi:type="dcterms:W3CDTF">2022-08-12T09:58:57Z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85FC94307C8D45A3BD5BC33DC65FF1F7</vt:lpwstr>
  </property>
</Properties>
</file>