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C366F">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建设广州国际航运枢纽三年行动计划</w:t>
      </w:r>
    </w:p>
    <w:p w14:paraId="2A721304">
      <w:pPr>
        <w:adjustRightInd w:val="0"/>
        <w:snapToGrid w:val="0"/>
        <w:spacing w:line="560" w:lineRule="exact"/>
        <w:jc w:val="center"/>
        <w:rPr>
          <w:rFonts w:ascii="仿宋_GB2312" w:hAnsi="楷体" w:eastAsia="仿宋_GB2312"/>
          <w:sz w:val="32"/>
          <w:szCs w:val="32"/>
        </w:rPr>
      </w:pPr>
      <w:r>
        <w:rPr>
          <w:rFonts w:hint="eastAsia" w:ascii="仿宋_GB2312" w:hAnsi="楷体" w:eastAsia="仿宋_GB2312"/>
          <w:sz w:val="32"/>
          <w:szCs w:val="32"/>
        </w:rPr>
        <w:t>（2021-2023年）</w:t>
      </w:r>
    </w:p>
    <w:p w14:paraId="0981F5EF">
      <w:pPr>
        <w:adjustRightInd w:val="0"/>
        <w:snapToGrid w:val="0"/>
        <w:spacing w:line="560" w:lineRule="exact"/>
        <w:jc w:val="center"/>
        <w:rPr>
          <w:rFonts w:ascii="楷体" w:hAnsi="楷体" w:eastAsia="楷体"/>
          <w:sz w:val="32"/>
          <w:szCs w:val="32"/>
        </w:rPr>
      </w:pPr>
    </w:p>
    <w:p w14:paraId="6D3F2A9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设广州国际航运枢纽是我市深入贯彻落实党的十九大和十九届二中、三中、四中、五中全会精神，服务构建以国内大循环为主体、国内国际双循环相互促进的新发展格局，全面落实粤港澳大湾区建设战略部署，建设交通强国和世界一流港口，促进广州市实现老城市新活力和“四个出新出彩”，打造国际综合交通枢纽的重要支</w:t>
      </w:r>
      <w:r>
        <w:rPr>
          <w:rFonts w:hint="eastAsia" w:ascii="仿宋_GB2312" w:hAnsi="仿宋" w:eastAsia="仿宋_GB2312"/>
          <w:color w:val="auto"/>
          <w:sz w:val="32"/>
          <w:szCs w:val="32"/>
        </w:rPr>
        <w:t>撑</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为</w:t>
      </w:r>
      <w:r>
        <w:rPr>
          <w:rFonts w:hint="eastAsia" w:ascii="仿宋_GB2312" w:hAnsi="仿宋" w:eastAsia="仿宋_GB2312"/>
          <w:sz w:val="32"/>
          <w:szCs w:val="32"/>
        </w:rPr>
        <w:t>此制定本行动计划。</w:t>
      </w:r>
    </w:p>
    <w:p w14:paraId="42FC33C2">
      <w:pPr>
        <w:spacing w:line="560" w:lineRule="exact"/>
        <w:ind w:firstLine="669" w:firstLineChars="197"/>
        <w:rPr>
          <w:rFonts w:ascii="黑体" w:hAnsi="黑体" w:eastAsia="黑体"/>
          <w:bCs/>
          <w:spacing w:val="10"/>
          <w:sz w:val="32"/>
          <w:szCs w:val="32"/>
        </w:rPr>
      </w:pPr>
      <w:r>
        <w:rPr>
          <w:rFonts w:hint="eastAsia" w:ascii="黑体" w:hAnsi="黑体" w:eastAsia="黑体"/>
          <w:bCs/>
          <w:spacing w:val="10"/>
          <w:sz w:val="32"/>
          <w:szCs w:val="32"/>
        </w:rPr>
        <w:t>一、发展回顾</w:t>
      </w:r>
    </w:p>
    <w:p w14:paraId="16DF4BA0">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（一）发展成效。</w:t>
      </w:r>
    </w:p>
    <w:p w14:paraId="4D859F9D">
      <w:pPr>
        <w:autoSpaceDE w:val="0"/>
        <w:autoSpaceDN w:val="0"/>
        <w:adjustRightInd w:val="0"/>
        <w:spacing w:line="560" w:lineRule="exact"/>
        <w:ind w:firstLine="627" w:firstLineChars="196"/>
        <w:jc w:val="left"/>
        <w:rPr>
          <w:rFonts w:ascii="仿宋_GB2312" w:hAnsi="仿宋" w:eastAsia="仿宋_GB2312"/>
          <w:sz w:val="32"/>
          <w:szCs w:val="32"/>
        </w:rPr>
      </w:pPr>
      <w:r>
        <w:rPr>
          <w:rFonts w:hint="eastAsia" w:ascii="仿宋_GB2312" w:hAnsi="仿宋" w:eastAsia="仿宋_GB2312"/>
          <w:bCs/>
          <w:sz w:val="32"/>
          <w:szCs w:val="32"/>
        </w:rPr>
        <w:t>航运枢纽集聚辐射能力进一步提升。</w:t>
      </w:r>
      <w:r>
        <w:rPr>
          <w:rFonts w:hint="eastAsia" w:ascii="仿宋_GB2312" w:hAnsi="仿宋" w:eastAsia="仿宋_GB2312"/>
          <w:sz w:val="32"/>
          <w:szCs w:val="32"/>
        </w:rPr>
        <w:t>广州港深水航道拓宽工程全线投入使用，实现了10万吨级集装箱船与15万吨级集装箱船双向通航，结束了珠江口至南沙港区大型集装箱船舶单向通航历史。南沙港区四期全自动化码头、南沙港铁路、南沙国际物流中心等重点项目建设加快推进，南沙港区已形成集装箱、滚装汽车、粮食、水上休闲旅游和客运连片开发格局。2020年广州港完成货物吞吐量6.36亿吨，较2017年增长4632万吨，国际排名由第5位提升至第4位；完成集装箱吞吐量2351万TEU（集装箱标准箱，下同），较2017年增长313万TEU，国际排名由第7位提升至第5位。2020年完成水路运输货运量42238万吨、货物周转量20868亿吨公里。2018-2020年累计靠泊邮轮192艘次，接待进出港邮轮旅客共94.4万人次，自2016年开通国际邮轮航线以来居全国第三。2020年完成滚装汽车150万辆，成为国内一流的滚装汽车接卸港口。三年新增外贸航线29条，截至2020年底，广州港集装箱航线达226条，其中外贸航线120条，内贸航线106条；开通驳船航线近200条。“湾区一港通”模式成功运营，国际航运保险业务免征增值税和启运港退税政策落地，广州南沙保税港区转型升级为广州南沙综合保税区</w:t>
      </w:r>
      <w:r>
        <w:rPr>
          <w:rFonts w:hint="eastAsia" w:ascii="仿宋_GB2312" w:eastAsia="仿宋_GB2312"/>
          <w:sz w:val="32"/>
          <w:szCs w:val="32"/>
        </w:rPr>
        <w:t>，</w:t>
      </w:r>
      <w:r>
        <w:rPr>
          <w:rFonts w:hint="eastAsia" w:ascii="仿宋_GB2312" w:hAnsi="仿宋" w:eastAsia="仿宋_GB2312"/>
          <w:sz w:val="32"/>
          <w:szCs w:val="32"/>
        </w:rPr>
        <w:t>广州保税物流园区整合优化为广州黄埔综合保税区。开行集装箱海铁联运班列11条，粮食散改集班列13条，商品车精品班列4条。“广州港口型国家物流枢纽”入选国家物流枢纽建设名单</w:t>
      </w:r>
      <w:r>
        <w:rPr>
          <w:rFonts w:hint="eastAsia" w:ascii="仿宋_GB2312" w:hAnsi="仿宋" w:eastAsia="仿宋_GB2312" w:cs="仿宋_GB2312"/>
          <w:sz w:val="32"/>
          <w:szCs w:val="32"/>
        </w:rPr>
        <w:t>，是广东省首家入选国家物流枢纽建设名单的港口型物流枢纽项目。</w:t>
      </w:r>
      <w:r>
        <w:rPr>
          <w:rFonts w:hint="eastAsia" w:ascii="仿宋_GB2312" w:hAnsi="仿宋" w:eastAsia="仿宋_GB2312"/>
          <w:sz w:val="32"/>
          <w:szCs w:val="32"/>
        </w:rPr>
        <w:t>通过“政策红利+便利化措施”，为客户打造高效便捷、满足不同时效和成本需求的物流解决方案，南沙港区的辐射带动能力显著提升。在新华</w:t>
      </w:r>
      <w:r>
        <w:rPr>
          <w:rFonts w:hint="eastAsia" w:ascii="仿宋_GB2312"/>
          <w:sz w:val="32"/>
          <w:szCs w:val="32"/>
        </w:rPr>
        <w:t>•</w:t>
      </w:r>
      <w:r>
        <w:rPr>
          <w:rFonts w:hint="eastAsia" w:ascii="仿宋_GB2312" w:hAnsi="仿宋" w:eastAsia="仿宋_GB2312"/>
          <w:sz w:val="32"/>
          <w:szCs w:val="32"/>
        </w:rPr>
        <w:t>波罗的海国际航运中心发展指数中，广州从2017年的第23位上升至2020年的第13位。</w:t>
      </w:r>
    </w:p>
    <w:p w14:paraId="25CAF19F">
      <w:pPr>
        <w:spacing w:line="560" w:lineRule="exact"/>
        <w:ind w:firstLine="627" w:firstLineChars="196"/>
        <w:rPr>
          <w:rFonts w:ascii="仿宋_GB2312" w:hAnsi="仿宋" w:eastAsia="仿宋_GB2312"/>
          <w:sz w:val="32"/>
          <w:szCs w:val="32"/>
        </w:rPr>
      </w:pPr>
      <w:r>
        <w:rPr>
          <w:rFonts w:hint="eastAsia" w:ascii="仿宋_GB2312" w:hAnsi="仿宋" w:eastAsia="仿宋_GB2312"/>
          <w:bCs/>
          <w:sz w:val="32"/>
          <w:szCs w:val="32"/>
        </w:rPr>
        <w:t>国际航运综合服务功能进一步增强。</w:t>
      </w:r>
      <w:r>
        <w:rPr>
          <w:rFonts w:hint="eastAsia" w:ascii="仿宋_GB2312" w:hAnsi="仿宋" w:eastAsia="仿宋_GB2312"/>
          <w:sz w:val="32"/>
          <w:szCs w:val="32"/>
        </w:rPr>
        <w:t>我市出台《广州市关于粤港澳大湾区建设背景下增强广州港国际航运综合服务功能的工作方案》，成立粤港澳港口航运发展联盟。广州港集团财务公司正式成立，中远海特成为广东省首批三家航运贸易外汇便利化结算试点单位之一。全国首个线上行业保险要素交易平台——航运保险要素交易平台正式上线。广州航运交易所三年完成船舶交易2191艘，交易金额88.17亿元。黄埔区、南沙区现代航运服务产业集聚成效凸显。中外运财务共享服务中心项目落户黄埔，粤港澳大湾区全球优品国际分拨中心、广州招商滚装运输有限公司、三鼎油运公司等落户南沙。截至2020年底，广州水路运输企业经营船队规模已超过4000万</w:t>
      </w:r>
      <w:r>
        <w:rPr>
          <w:rFonts w:ascii="仿宋_GB2312" w:hAnsi="仿宋" w:eastAsia="仿宋_GB2312"/>
          <w:sz w:val="32"/>
          <w:szCs w:val="32"/>
        </w:rPr>
        <w:t>载重吨</w:t>
      </w:r>
      <w:r>
        <w:rPr>
          <w:rFonts w:hint="eastAsia" w:ascii="仿宋_GB2312" w:hAnsi="仿宋" w:eastAsia="仿宋_GB2312"/>
          <w:sz w:val="32"/>
          <w:szCs w:val="32"/>
        </w:rPr>
        <w:t>。南沙四期自动化码头工程开工建设，</w:t>
      </w:r>
      <w:r>
        <w:rPr>
          <w:rFonts w:hint="eastAsia" w:ascii="仿宋_GB2312" w:hAnsi="仿宋" w:eastAsia="仿宋_GB2312" w:cs="仿宋"/>
          <w:sz w:val="32"/>
          <w:szCs w:val="32"/>
        </w:rPr>
        <w:t>世界首创将无人驾驶技术应用到智能集卡</w:t>
      </w:r>
      <w:r>
        <w:rPr>
          <w:rFonts w:hint="eastAsia" w:ascii="仿宋_GB2312" w:hAnsi="仿宋" w:eastAsia="仿宋_GB2312"/>
          <w:sz w:val="32"/>
          <w:szCs w:val="32"/>
        </w:rPr>
        <w:t xml:space="preserve">。建成全国首个5G+智能理货平台。完善广州国际贸易单一窗口功能，实现海运物流全程信息共享和无纸化应用。成功举办世界港口大会，与国际友好港携手抗疫，展示了国际大港良好形象和使命担当。 </w:t>
      </w:r>
    </w:p>
    <w:p w14:paraId="36905607">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（二）存在不足。</w:t>
      </w:r>
    </w:p>
    <w:p w14:paraId="2ACCCAB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广州港码头、航道等基础设施通过能力与世界一流港口仍有差距，港口发展战略空间不足。海铁联运箱量较少，多式联运需加快发展。现代信息技术与港航产业融合度不高，口岸、投资贸易便利化等服务水平亟待提高。支撑航运枢纽建设的高素质人才队伍需加快培养和引进。</w:t>
      </w:r>
    </w:p>
    <w:p w14:paraId="5EAA0E10">
      <w:pPr>
        <w:spacing w:line="560" w:lineRule="exact"/>
        <w:ind w:firstLine="669" w:firstLineChars="197"/>
        <w:rPr>
          <w:rFonts w:ascii="黑体" w:hAnsi="黑体" w:eastAsia="黑体"/>
          <w:bCs/>
          <w:spacing w:val="10"/>
          <w:sz w:val="32"/>
          <w:szCs w:val="32"/>
        </w:rPr>
      </w:pPr>
      <w:r>
        <w:rPr>
          <w:rFonts w:hint="eastAsia" w:ascii="黑体" w:hAnsi="黑体" w:eastAsia="黑体"/>
          <w:bCs/>
          <w:spacing w:val="10"/>
          <w:sz w:val="32"/>
          <w:szCs w:val="32"/>
        </w:rPr>
        <w:t>二、指导思想与发展目标</w:t>
      </w:r>
    </w:p>
    <w:p w14:paraId="79D34E48">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（一）指导思想。</w:t>
      </w:r>
    </w:p>
    <w:p w14:paraId="0CA58E0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全面贯彻落实党的十九大和十九届二中、三中、四中、五中全会精神以及习近平总书记对广东系列重要讲话和重要指示批示精神，坚持稳中求进工作总基调，按照立足新发展阶段、贯彻新发展理念、构建新发展格局的要求，以推动高质量发展为主题，以深化供给侧结构性改革为主线，以改革创新为根本动力，以建设世界一流港口为目标，加强前瞻性思考、全局性谋划、战略性布局，加大基础设施攻坚，加快服务功能升级，推进绿色智慧安全发展，实现广州港口和航运业更高质量、更有效率、更可持续、更为安全的发展，支撑广州打造全球海洋中心城市，为广州奋力实现老城市新活力、“四个出新出彩”发挥重要支撑作用。</w:t>
      </w:r>
    </w:p>
    <w:p w14:paraId="32A436B1">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（二）发展目标。</w:t>
      </w:r>
    </w:p>
    <w:p w14:paraId="58158738">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紧抓构建以国内大循环为主体、国内国际双循环相互促进新发展格局和“一带一路”倡议、粤港澳大湾区、交通强国、世界一流港口建设等带来的发展机遇，重点聚焦码头能力提升拓展新空间、多式联运建设拓展新增量、信息技术应用拓展新效率、物流设施完善拓展新领域、航运服务提质拓展新优势、营商环境优化拓展新动能，固强项、强弱项、补短板，广州国际航运枢纽整体发展质量和效益明显提升，航运资源配置能力进一步增强。到2023年，广州港货物吞吐量达到6.6亿吨，集装箱吞吐量达到2550万TEU；商品汽车吞吐量达到170万辆；铁水联运箱量快速提升。</w:t>
      </w:r>
    </w:p>
    <w:p w14:paraId="32B47D28">
      <w:pPr>
        <w:spacing w:line="560" w:lineRule="exact"/>
        <w:ind w:firstLine="669" w:firstLineChars="197"/>
        <w:rPr>
          <w:rFonts w:ascii="黑体" w:hAnsi="黑体" w:eastAsia="黑体"/>
          <w:bCs/>
          <w:spacing w:val="10"/>
          <w:sz w:val="32"/>
          <w:szCs w:val="32"/>
        </w:rPr>
      </w:pPr>
      <w:r>
        <w:rPr>
          <w:rFonts w:hint="eastAsia" w:ascii="黑体" w:hAnsi="黑体" w:eastAsia="黑体"/>
          <w:bCs/>
          <w:spacing w:val="10"/>
          <w:sz w:val="32"/>
          <w:szCs w:val="32"/>
        </w:rPr>
        <w:t>三、主要任务</w:t>
      </w:r>
    </w:p>
    <w:p w14:paraId="14CC92A8">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（一）建设功能完善的基础设施。</w:t>
      </w:r>
    </w:p>
    <w:p w14:paraId="0312B954">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1.优化港口功能布局。</w:t>
      </w:r>
      <w:r>
        <w:rPr>
          <w:rFonts w:hint="eastAsia" w:ascii="仿宋_GB2312" w:hAnsi="仿宋" w:eastAsia="仿宋_GB2312"/>
          <w:sz w:val="32"/>
          <w:szCs w:val="32"/>
        </w:rPr>
        <w:t>构建以南沙港区为核心、黄埔</w:t>
      </w:r>
      <w:r>
        <w:rPr>
          <w:rFonts w:hint="eastAsia" w:ascii="仿宋_GB2312" w:hAnsi="仿宋" w:eastAsia="仿宋_GB2312"/>
          <w:sz w:val="32"/>
          <w:szCs w:val="32"/>
          <w:lang w:eastAsia="zh-CN"/>
        </w:rPr>
        <w:t>新</w:t>
      </w:r>
      <w:r>
        <w:rPr>
          <w:rFonts w:hint="eastAsia" w:ascii="仿宋_GB2312" w:hAnsi="仿宋" w:eastAsia="仿宋_GB2312"/>
          <w:sz w:val="32"/>
          <w:szCs w:val="32"/>
        </w:rPr>
        <w:t>港和新沙港区为</w:t>
      </w:r>
      <w:r>
        <w:rPr>
          <w:rFonts w:hint="eastAsia" w:ascii="仿宋_GB2312" w:hAnsi="仿宋" w:eastAsia="仿宋_GB2312"/>
          <w:sz w:val="32"/>
          <w:szCs w:val="32"/>
          <w:lang w:eastAsia="zh-CN"/>
        </w:rPr>
        <w:t>重要功能区</w:t>
      </w:r>
      <w:r>
        <w:rPr>
          <w:rFonts w:hint="eastAsia" w:ascii="仿宋_GB2312" w:hAnsi="仿宋" w:eastAsia="仿宋_GB2312"/>
          <w:sz w:val="32"/>
          <w:szCs w:val="32"/>
        </w:rPr>
        <w:t>、内港港区和内河港区为补充，分工合理、功能分明的港口发展格局。重点推进南沙港区、新沙港区的集装箱、粮食、通用、商品汽车滚装等专业化深水泊位建设；稳步推进黄埔港区老港作业区转型升级，结合南沙港区开发建设进度，有序推进货运功能转移，</w:t>
      </w:r>
      <w:r>
        <w:rPr>
          <w:rFonts w:hint="eastAsia" w:ascii="仿宋_GB2312" w:hAnsi="仿宋_GB2312" w:eastAsia="仿宋_GB2312" w:cs="仿宋_GB2312"/>
          <w:sz w:val="32"/>
          <w:szCs w:val="32"/>
        </w:rPr>
        <w:t>规划布局邮轮、客滚、游船、游艇功能，重点发展人工智能、数字经济和现代航运服务业，</w:t>
      </w:r>
      <w:r>
        <w:rPr>
          <w:rFonts w:hint="eastAsia" w:ascii="仿宋_GB2312" w:hAnsi="仿宋" w:eastAsia="仿宋_GB2312"/>
          <w:sz w:val="32"/>
          <w:szCs w:val="32"/>
        </w:rPr>
        <w:t>同步提升邮轮航道通过能力；内港港区重点发展客运以及游船、游艇功能；番禺港区、五和港区、新塘港区等内河港区加强与南沙港区联动发展。加强对南沙龙穴岛深水岸线资源的保护和统筹规划，为广州港未来发展预留空间。加强老旧码头管理，释放存量岸线和堆场资源，提高岸线和土地利用效率</w:t>
      </w:r>
      <w:r>
        <w:rPr>
          <w:rFonts w:hint="eastAsia" w:ascii="楷体" w:hAnsi="楷体" w:eastAsia="楷体"/>
          <w:sz w:val="32"/>
          <w:szCs w:val="32"/>
        </w:rPr>
        <w:t>（市港务局牵头，市规划和自然资源局、相关区政府、广州港集团配合）</w:t>
      </w:r>
      <w:r>
        <w:rPr>
          <w:rFonts w:hint="eastAsia" w:ascii="仿宋_GB2312" w:hAnsi="仿宋" w:eastAsia="仿宋_GB2312"/>
          <w:sz w:val="32"/>
          <w:szCs w:val="32"/>
        </w:rPr>
        <w:t>。</w:t>
      </w:r>
      <w:r>
        <w:rPr>
          <w:rFonts w:hint="eastAsia" w:ascii="楷体" w:hAnsi="楷体" w:eastAsia="楷体"/>
          <w:sz w:val="32"/>
          <w:szCs w:val="32"/>
        </w:rPr>
        <w:t xml:space="preserve">   </w:t>
      </w:r>
      <w:r>
        <w:rPr>
          <w:rFonts w:hint="eastAsia" w:ascii="仿宋_GB2312" w:hAnsi="仿宋" w:eastAsia="仿宋_GB2312"/>
          <w:sz w:val="32"/>
          <w:szCs w:val="32"/>
        </w:rPr>
        <w:t xml:space="preserve">                                  </w:t>
      </w:r>
    </w:p>
    <w:p w14:paraId="77E1251E">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2.加快大型货运码头建设。</w:t>
      </w:r>
      <w:r>
        <w:rPr>
          <w:rFonts w:hint="eastAsia" w:ascii="仿宋_GB2312" w:hAnsi="仿宋" w:eastAsia="仿宋_GB2312"/>
          <w:sz w:val="32"/>
          <w:szCs w:val="32"/>
        </w:rPr>
        <w:t>推进实施南沙港区四期工程、南沙港区近洋码头工程、南沙港区粮食及通用码头扩建工程、新沙港区11-12号通用泊位工程施工，争取2021年主体工程完工。加快广州LNG（液化天然气，下同）应急调峰气源站项目建设，力争2023年基本建成</w:t>
      </w:r>
      <w:r>
        <w:rPr>
          <w:rFonts w:hint="eastAsia" w:ascii="楷体" w:hAnsi="楷体" w:eastAsia="楷体"/>
          <w:sz w:val="32"/>
          <w:szCs w:val="32"/>
        </w:rPr>
        <w:t>（广州港集团、广州发展集团牵头，市发展改革委、市港务局、南沙区政府配合）</w:t>
      </w:r>
      <w:r>
        <w:rPr>
          <w:rFonts w:hint="eastAsia" w:ascii="仿宋_GB2312" w:hAnsi="仿宋" w:eastAsia="仿宋_GB2312"/>
          <w:sz w:val="32"/>
          <w:szCs w:val="32"/>
        </w:rPr>
        <w:t>。推进南沙港区国际通用码头工程围填海等前期手续，2023年前开工。推进南沙港区五期、南沙港区国际海铁联运码头前期工作，争取南沙港区五期在“十四五”开工。开展港口服务和支持保障系统码头、防台应急锚地等建设研究</w:t>
      </w:r>
      <w:r>
        <w:rPr>
          <w:rFonts w:hint="eastAsia" w:ascii="楷体" w:hAnsi="楷体" w:eastAsia="楷体"/>
          <w:sz w:val="32"/>
          <w:szCs w:val="32"/>
        </w:rPr>
        <w:t>（南沙区政府、广州港集团、市港务局牵头，市发展改革委、市规划和自然资源局配合）</w:t>
      </w:r>
      <w:r>
        <w:rPr>
          <w:rFonts w:hint="eastAsia" w:ascii="仿宋_GB2312" w:hAnsi="仿宋" w:eastAsia="仿宋_GB2312"/>
          <w:sz w:val="32"/>
          <w:szCs w:val="32"/>
        </w:rPr>
        <w:t>。</w:t>
      </w:r>
      <w:r>
        <w:rPr>
          <w:rFonts w:hint="eastAsia" w:ascii="楷体" w:hAnsi="楷体" w:eastAsia="楷体"/>
          <w:sz w:val="32"/>
          <w:szCs w:val="32"/>
        </w:rPr>
        <w:t xml:space="preserve">     </w:t>
      </w:r>
      <w:r>
        <w:rPr>
          <w:rFonts w:hint="eastAsia" w:ascii="仿宋_GB2312" w:hAnsi="仿宋" w:eastAsia="仿宋_GB2312"/>
          <w:sz w:val="32"/>
          <w:szCs w:val="32"/>
        </w:rPr>
        <w:t xml:space="preserve">                         </w:t>
      </w:r>
    </w:p>
    <w:p w14:paraId="0AD5C063">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3.提高公共航道与锚地适应能力。</w:t>
      </w:r>
      <w:r>
        <w:rPr>
          <w:rFonts w:hint="eastAsia" w:ascii="仿宋_GB2312" w:hAnsi="仿宋" w:eastAsia="仿宋_GB2312"/>
          <w:sz w:val="32"/>
          <w:szCs w:val="32"/>
        </w:rPr>
        <w:t>开工建设广州港环大虎岛公用航道工程和桂山锚地扩建工程；推进广州港20万吨级航道工程、广州港小船专用航道工程前期工作；开展南沙港区公共锚地前期研究；</w:t>
      </w:r>
      <w:r>
        <w:rPr>
          <w:rFonts w:hint="eastAsia" w:ascii="仿宋_GB2312" w:hAnsi="仿宋" w:eastAsia="仿宋_GB2312" w:cs="宋体"/>
          <w:kern w:val="0"/>
          <w:sz w:val="32"/>
          <w:szCs w:val="32"/>
          <w:lang w:val="zh-CN"/>
        </w:rPr>
        <w:t>协调提升现有航道维护等级，满足港口发展需求</w:t>
      </w:r>
      <w:r>
        <w:rPr>
          <w:rFonts w:hint="eastAsia" w:ascii="楷体" w:hAnsi="楷体" w:eastAsia="楷体"/>
          <w:sz w:val="32"/>
          <w:szCs w:val="32"/>
        </w:rPr>
        <w:t xml:space="preserve">（市港务局牵头，南沙区政府、广州港集团、广州海事局、市发展改革委、市规划和自然资源局配合） 。    </w:t>
      </w:r>
      <w:r>
        <w:rPr>
          <w:rFonts w:hint="eastAsia" w:ascii="仿宋_GB2312" w:hAnsi="仿宋" w:eastAsia="仿宋_GB2312"/>
          <w:sz w:val="32"/>
          <w:szCs w:val="32"/>
        </w:rPr>
        <w:t xml:space="preserve">                           </w:t>
      </w:r>
    </w:p>
    <w:p w14:paraId="602FAC5E">
      <w:pPr>
        <w:spacing w:line="560" w:lineRule="exact"/>
        <w:ind w:firstLine="627" w:firstLineChars="196"/>
        <w:rPr>
          <w:rFonts w:ascii="楷体" w:hAnsi="楷体" w:eastAsia="楷体"/>
          <w:sz w:val="32"/>
          <w:szCs w:val="32"/>
        </w:rPr>
      </w:pPr>
      <w:r>
        <w:rPr>
          <w:rFonts w:hint="eastAsia" w:ascii="楷体" w:hAnsi="楷体" w:eastAsia="楷体"/>
          <w:sz w:val="32"/>
          <w:szCs w:val="32"/>
        </w:rPr>
        <w:t xml:space="preserve">（二）大力发展多式联运。           </w:t>
      </w:r>
    </w:p>
    <w:p w14:paraId="22BDBB5B">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1.推动江海联运提质增效。</w:t>
      </w:r>
      <w:r>
        <w:rPr>
          <w:rFonts w:hint="eastAsia" w:ascii="仿宋_GB2312" w:hAnsi="仿宋" w:eastAsia="仿宋_GB2312"/>
          <w:sz w:val="32"/>
          <w:szCs w:val="32"/>
        </w:rPr>
        <w:t>以广州港为枢纽港，加强与珠江三角洲、西江、北江内河集装箱驳船运输。实现内河集装箱航线常态化运行，推动支线驳船网络航线共享、舱位互换。加大拓展以北部湾、海南等为重点的沿海集装箱驳船运输服务，强化对腹地的航运服务能力。大力推广“湾区一港通”，将覆盖范围拓展至珠三角、粤东、粤西、粤北等广东省其他港口。推动滚装商品汽车江海联运运输，优化沙仔岛汽车口岸与柳州等广西地区双向汽车物流通道，拓展南沙港区商品汽车辐射范围</w:t>
      </w:r>
      <w:r>
        <w:rPr>
          <w:rFonts w:hint="eastAsia" w:ascii="楷体" w:hAnsi="楷体" w:eastAsia="楷体"/>
          <w:sz w:val="32"/>
          <w:szCs w:val="32"/>
        </w:rPr>
        <w:t>（广州港集团、中外运华南公司牵头，广州海关、黄埔海关、市港务局、市商务局配合）</w:t>
      </w:r>
      <w:r>
        <w:rPr>
          <w:rFonts w:hint="eastAsia" w:ascii="仿宋_GB2312" w:hAnsi="仿宋" w:eastAsia="仿宋_GB2312"/>
          <w:sz w:val="32"/>
          <w:szCs w:val="32"/>
        </w:rPr>
        <w:t>。</w:t>
      </w:r>
      <w:r>
        <w:rPr>
          <w:rFonts w:hint="eastAsia" w:ascii="楷体" w:hAnsi="楷体" w:eastAsia="楷体"/>
          <w:sz w:val="32"/>
          <w:szCs w:val="32"/>
        </w:rPr>
        <w:t xml:space="preserve">     </w:t>
      </w:r>
      <w:r>
        <w:rPr>
          <w:rFonts w:hint="eastAsia" w:ascii="仿宋_GB2312" w:hAnsi="仿宋" w:eastAsia="仿宋_GB2312"/>
          <w:sz w:val="32"/>
          <w:szCs w:val="32"/>
        </w:rPr>
        <w:t xml:space="preserve">                 </w:t>
      </w:r>
    </w:p>
    <w:p w14:paraId="281A3A49">
      <w:pPr>
        <w:spacing w:line="560" w:lineRule="exact"/>
        <w:ind w:firstLine="640" w:firstLineChars="200"/>
        <w:rPr>
          <w:rFonts w:ascii="楷体" w:hAnsi="楷体" w:eastAsia="楷体"/>
          <w:sz w:val="32"/>
          <w:szCs w:val="32"/>
        </w:rPr>
      </w:pPr>
      <w:r>
        <w:rPr>
          <w:rFonts w:hint="eastAsia" w:ascii="仿宋_GB2312" w:hAnsi="仿宋" w:eastAsia="仿宋_GB2312"/>
          <w:bCs/>
          <w:sz w:val="32"/>
          <w:szCs w:val="32"/>
        </w:rPr>
        <w:t>2.加快发展海铁联运业务。</w:t>
      </w:r>
      <w:r>
        <w:rPr>
          <w:rFonts w:hint="eastAsia" w:ascii="仿宋_GB2312" w:hAnsi="仿宋" w:eastAsia="仿宋_GB2312"/>
          <w:sz w:val="32"/>
          <w:szCs w:val="32"/>
        </w:rPr>
        <w:t>推进南沙港铁路及配套站场建设，实现南沙港铁路2021年建成通车。推进南沙港区集装箱码头、粮食及通用码头、南沙国际海铁联运码头与南沙港站设施衔接、信息共享、运营协同。推进南沙港铁路及配套站场与广州南沙国际物流中心协调发展。深化港口与铁路合作，开通南沙港区海铁联运班列。依托南沙港铁路，</w:t>
      </w:r>
      <w:r>
        <w:rPr>
          <w:rFonts w:hint="eastAsia" w:ascii="仿宋_GB2312" w:hAnsi="仿宋" w:eastAsia="仿宋_GB2312" w:cs="仿宋_GB2312"/>
          <w:sz w:val="32"/>
          <w:szCs w:val="32"/>
        </w:rPr>
        <w:t>积极增开省外海铁联运班列，挖掘中长距离货源；</w:t>
      </w:r>
      <w:r>
        <w:rPr>
          <w:rFonts w:hint="eastAsia" w:ascii="仿宋_GB2312" w:hAnsi="仿宋" w:eastAsia="仿宋_GB2312"/>
          <w:sz w:val="32"/>
          <w:szCs w:val="32"/>
        </w:rPr>
        <w:t>优化内陆港布局，完善和提升内陆港功能。增加南沙港铁路商品汽车运输功能，实现桂林、成都、重庆等地至广州港商品汽车海铁联运专列常态化运营，在南沙港铁路沿线增设商品汽车公铁转运枢纽。依托广州铁路集装箱中心站配套码头，加快发展内河港区铁水联动业务。依托广州铁路集装箱中心站-南沙港铁路-南沙港区，构建通往西欧、中亚的国际大通道，打造以港口为核心的国际集装箱海铁联运品牌。整合港口与铁路优势资源，建设和经营海铁联运物流信息平台，进一步降低集装箱运输成本，做大做强海铁联运规模，促进港口物流高质量发展</w:t>
      </w:r>
      <w:r>
        <w:rPr>
          <w:rFonts w:hint="eastAsia" w:ascii="楷体" w:hAnsi="楷体" w:eastAsia="楷体"/>
          <w:sz w:val="32"/>
          <w:szCs w:val="32"/>
        </w:rPr>
        <w:t>（市发展改革委牵头，广州港集团、中国铁路广州局集团、广州地铁集团、中外运华南公司配合）</w:t>
      </w:r>
      <w:r>
        <w:rPr>
          <w:rFonts w:hint="eastAsia" w:ascii="仿宋_GB2312" w:hAnsi="仿宋" w:eastAsia="仿宋_GB2312"/>
          <w:sz w:val="32"/>
          <w:szCs w:val="32"/>
        </w:rPr>
        <w:t>。</w:t>
      </w:r>
    </w:p>
    <w:p w14:paraId="0645D7A7">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（三）打造便捷高效的物流服务。</w:t>
      </w:r>
    </w:p>
    <w:p w14:paraId="41BECFD8">
      <w:pPr>
        <w:spacing w:line="560" w:lineRule="exact"/>
        <w:ind w:firstLine="640" w:firstLineChars="200"/>
        <w:rPr>
          <w:rFonts w:ascii="楷体" w:hAnsi="楷体" w:eastAsia="楷体" w:cs="仿宋_GB2312"/>
          <w:sz w:val="32"/>
          <w:szCs w:val="32"/>
        </w:rPr>
      </w:pPr>
      <w:r>
        <w:rPr>
          <w:rFonts w:hint="eastAsia" w:ascii="仿宋_GB2312" w:hAnsi="仿宋" w:eastAsia="仿宋_GB2312"/>
          <w:bCs/>
          <w:sz w:val="32"/>
          <w:szCs w:val="32"/>
        </w:rPr>
        <w:t>1.做大做强集装箱物流。</w:t>
      </w:r>
      <w:r>
        <w:rPr>
          <w:rFonts w:hint="eastAsia" w:ascii="仿宋_GB2312" w:hAnsi="仿宋" w:eastAsia="仿宋_GB2312"/>
          <w:sz w:val="32"/>
          <w:szCs w:val="32"/>
        </w:rPr>
        <w:t>加强与京津冀、长江经济带</w:t>
      </w:r>
      <w:bookmarkStart w:id="0" w:name="_GoBack"/>
      <w:bookmarkEnd w:id="0"/>
      <w:r>
        <w:rPr>
          <w:rFonts w:hint="eastAsia" w:ascii="仿宋_GB2312" w:hAnsi="仿宋" w:eastAsia="仿宋_GB2312"/>
          <w:sz w:val="32"/>
          <w:szCs w:val="32"/>
        </w:rPr>
        <w:t>以及海南自贸港等国家重大战略的协同联动，持续拓展优化内贸班轮航线。巩固广州港至非洲、东南亚、地中海的国际集装箱运输枢纽地位。</w:t>
      </w:r>
      <w:r>
        <w:rPr>
          <w:rFonts w:hint="eastAsia" w:ascii="仿宋_GB2312" w:hAnsi="仿宋" w:eastAsia="仿宋_GB2312" w:cs="仿宋_GB2312"/>
          <w:sz w:val="32"/>
          <w:szCs w:val="32"/>
        </w:rPr>
        <w:t>发挥海外办事处作用，大力拓展FOB市场。加强与班轮公司沟通，争取南沙现有联盟航线加大舱位、改善挂港顺序以及推动航线进口方向加挂南沙，进一步丰富地中海航线和亚洲航线，完善航线结构；争取在南沙港区设立外贸滚装班轮航线、干散货准班轮航线。拓展周边适箱货类，将拼箱货逐步引流到南沙。依托物流园铁路站场，开展内陆货物拆装箱、换箱等业务。完成广州港集装箱物流信息平台二期开发</w:t>
      </w:r>
      <w:r>
        <w:rPr>
          <w:rFonts w:hint="eastAsia" w:ascii="楷体" w:hAnsi="楷体" w:eastAsia="楷体" w:cs="仿宋_GB2312"/>
          <w:sz w:val="32"/>
          <w:szCs w:val="32"/>
        </w:rPr>
        <w:t>（广州港集团、中外运华南公司、中远海散、中远海特牵头，广州海关、黄埔海关、市港务局、市商务局、南沙区政府配合）</w:t>
      </w:r>
      <w:r>
        <w:rPr>
          <w:rFonts w:hint="eastAsia" w:ascii="仿宋_GB2312" w:hAnsi="仿宋" w:eastAsia="仿宋_GB2312" w:cs="仿宋_GB2312"/>
          <w:sz w:val="32"/>
          <w:szCs w:val="32"/>
        </w:rPr>
        <w:t>。</w:t>
      </w:r>
    </w:p>
    <w:p w14:paraId="77526559">
      <w:pPr>
        <w:spacing w:line="560" w:lineRule="exact"/>
        <w:ind w:firstLine="640" w:firstLineChars="200"/>
        <w:rPr>
          <w:rFonts w:ascii="楷体" w:hAnsi="楷体" w:eastAsia="楷体"/>
          <w:sz w:val="32"/>
          <w:szCs w:val="32"/>
        </w:rPr>
      </w:pPr>
      <w:r>
        <w:rPr>
          <w:rFonts w:hint="eastAsia" w:ascii="仿宋_GB2312" w:hAnsi="仿宋" w:eastAsia="仿宋_GB2312"/>
          <w:bCs/>
          <w:sz w:val="32"/>
          <w:szCs w:val="32"/>
        </w:rPr>
        <w:t>2.创新发展商品汽车物流。</w:t>
      </w:r>
      <w:r>
        <w:rPr>
          <w:rFonts w:hint="eastAsia" w:ascii="仿宋_GB2312" w:hAnsi="仿宋" w:eastAsia="仿宋_GB2312"/>
          <w:sz w:val="32"/>
          <w:szCs w:val="32"/>
        </w:rPr>
        <w:t>围绕汽车中规车进口、平行进口、二手车出口等业务，构建进出口汽车物流集散地和展销平台，把广州港打造成国际汽车综合服务枢纽。依托南沙综合保税区，打造沙仔岛商品汽车综合物流产业及展销、服务基地，打造汽车增值服务产业和商品汽车集散物流基地。依托新沙、南沙沙仔岛汽车滚装码头，做大做强整车进口和转口业务。依托番禺、花都汽车物流园区及港口，促进番禺化龙、花都汽车产业基地与南沙、新沙汽车码头联动发展。</w:t>
      </w:r>
      <w:r>
        <w:rPr>
          <w:rFonts w:hint="eastAsia" w:ascii="仿宋_GB2312" w:hAnsi="仿宋" w:eastAsia="仿宋_GB2312" w:cs="仿宋_GB2312"/>
          <w:sz w:val="32"/>
          <w:szCs w:val="32"/>
        </w:rPr>
        <w:t>推进商品汽车海铁联运和江</w:t>
      </w:r>
      <w:r>
        <w:rPr>
          <w:rFonts w:hint="eastAsia" w:ascii="仿宋_GB2312" w:hAnsi="仿宋" w:eastAsia="仿宋_GB2312"/>
          <w:sz w:val="32"/>
          <w:szCs w:val="32"/>
        </w:rPr>
        <w:t>海联运，扩大汽车口岸物流覆盖区域</w:t>
      </w:r>
      <w:r>
        <w:rPr>
          <w:rFonts w:hint="eastAsia" w:ascii="楷体" w:hAnsi="楷体" w:eastAsia="楷体"/>
          <w:sz w:val="32"/>
          <w:szCs w:val="32"/>
        </w:rPr>
        <w:t>（广州港集团牵头，市港务局、市商务局、广州海关、黄埔海关、广州海事局配合）</w:t>
      </w:r>
      <w:r>
        <w:rPr>
          <w:rFonts w:hint="eastAsia" w:ascii="仿宋_GB2312" w:hAnsi="仿宋" w:eastAsia="仿宋_GB2312"/>
          <w:sz w:val="32"/>
          <w:szCs w:val="32"/>
        </w:rPr>
        <w:t>。</w:t>
      </w:r>
    </w:p>
    <w:p w14:paraId="6CD96A59">
      <w:pPr>
        <w:spacing w:line="560" w:lineRule="exact"/>
        <w:ind w:firstLine="640" w:firstLineChars="200"/>
        <w:rPr>
          <w:rFonts w:ascii="楷体" w:hAnsi="楷体" w:eastAsia="楷体"/>
          <w:sz w:val="32"/>
          <w:szCs w:val="32"/>
        </w:rPr>
      </w:pPr>
      <w:r>
        <w:rPr>
          <w:rFonts w:hint="eastAsia" w:ascii="仿宋_GB2312" w:hAnsi="仿宋" w:eastAsia="仿宋_GB2312"/>
          <w:bCs/>
          <w:sz w:val="32"/>
          <w:szCs w:val="32"/>
        </w:rPr>
        <w:t>3.大力发展冷链物流。</w:t>
      </w:r>
      <w:r>
        <w:rPr>
          <w:rFonts w:hint="eastAsia" w:ascii="仿宋_GB2312" w:hAnsi="仿宋" w:eastAsia="仿宋_GB2312"/>
          <w:sz w:val="32"/>
          <w:szCs w:val="32"/>
        </w:rPr>
        <w:t>以南沙国际物流中心为重点，加快高标准、现代化冷链物流基础设施建设，南区、北区争取2021年建成运营</w:t>
      </w:r>
      <w:r>
        <w:rPr>
          <w:rFonts w:hint="eastAsia" w:ascii="楷体" w:hAnsi="楷体" w:eastAsia="楷体"/>
          <w:sz w:val="32"/>
          <w:szCs w:val="32"/>
        </w:rPr>
        <w:t>（广州港集团牵头，市港务局、南沙区政府配合）</w:t>
      </w:r>
      <w:r>
        <w:rPr>
          <w:rFonts w:hint="eastAsia" w:ascii="仿宋_GB2312" w:hAnsi="仿宋" w:eastAsia="仿宋_GB2312"/>
          <w:sz w:val="32"/>
          <w:szCs w:val="32"/>
        </w:rPr>
        <w:t>。依托南沙自贸试验区和南沙综保区优势，以仓储起步，拓展冷链货物保税仓储功能，逐步开展冷链加工、分拣、分拨配送等业务，适时开展冷链货物展示、交易、贸易金融，合作探索品质检验业务，打造综合冷链物流基地</w:t>
      </w:r>
      <w:r>
        <w:rPr>
          <w:rFonts w:hint="eastAsia" w:ascii="楷体" w:hAnsi="楷体" w:eastAsia="楷体"/>
          <w:sz w:val="32"/>
          <w:szCs w:val="32"/>
        </w:rPr>
        <w:t>（广州港集团牵头，市商务局、市港务局、南沙区政府、广州海关配合）</w:t>
      </w:r>
      <w:r>
        <w:rPr>
          <w:rFonts w:hint="eastAsia" w:ascii="仿宋_GB2312" w:hAnsi="仿宋" w:eastAsia="仿宋_GB2312"/>
          <w:sz w:val="32"/>
          <w:szCs w:val="32"/>
        </w:rPr>
        <w:t>。</w:t>
      </w:r>
    </w:p>
    <w:p w14:paraId="2C7D32BA">
      <w:pPr>
        <w:spacing w:line="560" w:lineRule="exact"/>
        <w:ind w:firstLine="640" w:firstLineChars="200"/>
        <w:rPr>
          <w:rFonts w:ascii="楷体" w:hAnsi="楷体" w:eastAsia="楷体"/>
          <w:sz w:val="32"/>
          <w:szCs w:val="32"/>
        </w:rPr>
      </w:pPr>
      <w:r>
        <w:rPr>
          <w:rFonts w:hint="eastAsia" w:ascii="仿宋_GB2312" w:hAnsi="仿宋" w:eastAsia="仿宋_GB2312"/>
          <w:bCs/>
          <w:sz w:val="32"/>
          <w:szCs w:val="32"/>
        </w:rPr>
        <w:t>4.</w:t>
      </w:r>
      <w:r>
        <w:rPr>
          <w:rFonts w:hint="eastAsia" w:ascii="仿宋_GB2312" w:hAnsi="仿宋" w:eastAsia="仿宋_GB2312"/>
          <w:sz w:val="32"/>
          <w:szCs w:val="32"/>
        </w:rPr>
        <w:t>发展“散改集”运输模式</w:t>
      </w:r>
      <w:r>
        <w:rPr>
          <w:rFonts w:hint="eastAsia" w:ascii="仿宋_GB2312" w:hAnsi="仿宋" w:eastAsia="仿宋_GB2312"/>
          <w:bCs/>
          <w:sz w:val="32"/>
          <w:szCs w:val="32"/>
        </w:rPr>
        <w:t>。</w:t>
      </w:r>
      <w:r>
        <w:rPr>
          <w:rFonts w:hint="eastAsia" w:ascii="仿宋_GB2312" w:hAnsi="仿宋" w:eastAsia="仿宋_GB2312"/>
          <w:sz w:val="32"/>
          <w:szCs w:val="32"/>
        </w:rPr>
        <w:t>发展粮食</w:t>
      </w:r>
      <w:r>
        <w:rPr>
          <w:rFonts w:hint="eastAsia" w:ascii="仿宋_GB2312" w:hAnsi="仿宋" w:eastAsia="仿宋_GB2312" w:cs="仿宋_GB2312"/>
          <w:sz w:val="32"/>
          <w:szCs w:val="32"/>
        </w:rPr>
        <w:t>、</w:t>
      </w:r>
      <w:r>
        <w:rPr>
          <w:rFonts w:hint="eastAsia" w:ascii="仿宋_GB2312" w:hAnsi="仿宋" w:eastAsia="仿宋_GB2312"/>
          <w:sz w:val="32"/>
          <w:szCs w:val="32"/>
        </w:rPr>
        <w:t>煤炭、</w:t>
      </w:r>
      <w:r>
        <w:rPr>
          <w:rFonts w:hint="eastAsia" w:ascii="仿宋_GB2312" w:hAnsi="仿宋" w:eastAsia="仿宋_GB2312" w:cs="仿宋_GB2312"/>
          <w:sz w:val="32"/>
          <w:szCs w:val="32"/>
        </w:rPr>
        <w:t>钢铁</w:t>
      </w:r>
      <w:r>
        <w:rPr>
          <w:rFonts w:hint="eastAsia" w:ascii="仿宋_GB2312" w:hAnsi="仿宋" w:eastAsia="仿宋_GB2312"/>
          <w:sz w:val="32"/>
          <w:szCs w:val="32"/>
        </w:rPr>
        <w:t>等大宗物资运输服务。</w:t>
      </w:r>
      <w:r>
        <w:rPr>
          <w:rFonts w:hint="eastAsia" w:ascii="仿宋_GB2312" w:hAnsi="仿宋" w:eastAsia="仿宋_GB2312" w:cs="仿宋_GB2312"/>
          <w:sz w:val="32"/>
          <w:szCs w:val="32"/>
        </w:rPr>
        <w:t>加大“散改集”“集改散”组货力度，稳定客户、争取货源</w:t>
      </w:r>
      <w:r>
        <w:rPr>
          <w:rFonts w:hint="eastAsia" w:ascii="仿宋_GB2312" w:hAnsi="仿宋" w:eastAsia="仿宋_GB2312"/>
          <w:sz w:val="32"/>
          <w:szCs w:val="32"/>
        </w:rPr>
        <w:t>。推广煤炭35吨敞顶集装箱绿色铁路运输新模式，建立广州港至广东省内及江西、湖南等省的“散改集”通道，提升服务能力和水平，构建绿色高效的“散改集”疏运网络</w:t>
      </w:r>
      <w:r>
        <w:rPr>
          <w:rFonts w:hint="eastAsia" w:ascii="楷体" w:hAnsi="楷体" w:eastAsia="楷体"/>
          <w:sz w:val="32"/>
          <w:szCs w:val="32"/>
        </w:rPr>
        <w:t>（广州港集团、中国铁路广州局集团牵头，市港务局、市发展改革委配合）</w:t>
      </w:r>
      <w:r>
        <w:rPr>
          <w:rFonts w:hint="eastAsia" w:ascii="仿宋_GB2312" w:hAnsi="仿宋" w:eastAsia="仿宋_GB2312"/>
          <w:sz w:val="32"/>
          <w:szCs w:val="32"/>
        </w:rPr>
        <w:t>。</w:t>
      </w:r>
    </w:p>
    <w:p w14:paraId="79655A40">
      <w:pPr>
        <w:spacing w:line="560" w:lineRule="exact"/>
        <w:ind w:firstLine="640" w:firstLineChars="200"/>
        <w:rPr>
          <w:rFonts w:ascii="楷体" w:hAnsi="楷体" w:eastAsia="楷体"/>
          <w:sz w:val="32"/>
          <w:szCs w:val="32"/>
        </w:rPr>
      </w:pPr>
      <w:r>
        <w:rPr>
          <w:rFonts w:hint="eastAsia" w:ascii="仿宋_GB2312" w:hAnsi="仿宋" w:eastAsia="仿宋_GB2312"/>
          <w:bCs/>
          <w:sz w:val="32"/>
          <w:szCs w:val="32"/>
        </w:rPr>
        <w:t>5.发展航运物流新业态。</w:t>
      </w:r>
      <w:r>
        <w:rPr>
          <w:rFonts w:hint="eastAsia" w:ascii="仿宋_GB2312" w:hAnsi="仿宋" w:eastAsia="仿宋_GB2312"/>
          <w:sz w:val="32"/>
          <w:szCs w:val="32"/>
        </w:rPr>
        <w:t>依托南沙综合保税区、南沙进口贸易促进创新示范区建设，结合港口航运功能，积极推进大宗商品、消费品的进口分拨、国际中转和转口贸易，以及跨境电商、汽车进出口、大型设备融资租赁、保税展示、检测维修等各项业务发展，为广州国际航运枢纽、国际贸易中心建设提供新动能。以龙穴岛为重点，加快智能化仓库、保税仓等物流仓储设施及管理信息系统建设，打造出口型物流基地和进口型分拨基地。推进宝钢国际南沙物流基地、中远海运港口供应链基地等项目前期工作。大力支持南沙港区发展粤港澳大湾区国际分拨中心、广州南沙国际物流分拨与配送中心一期等湾区内综合物流及供应链管理项目，引入国际知名物流企业，建设国际物流分拨及配送中心。进一步完善和推广全球溯源中心、全球优品分拨中心、全球报关服务系统</w:t>
      </w:r>
      <w:r>
        <w:rPr>
          <w:rFonts w:hint="eastAsia" w:ascii="楷体" w:hAnsi="楷体" w:eastAsia="楷体"/>
          <w:sz w:val="32"/>
          <w:szCs w:val="32"/>
        </w:rPr>
        <w:t>（南沙区政府牵头，市商务局、广州海关、广州港集团、广州中远海运物流有限公司配合）</w:t>
      </w:r>
      <w:r>
        <w:rPr>
          <w:rFonts w:hint="eastAsia" w:ascii="仿宋_GB2312" w:hAnsi="仿宋" w:eastAsia="仿宋_GB2312"/>
          <w:sz w:val="32"/>
          <w:szCs w:val="32"/>
        </w:rPr>
        <w:t>。</w:t>
      </w:r>
    </w:p>
    <w:p w14:paraId="24E78C0A">
      <w:pPr>
        <w:spacing w:line="560" w:lineRule="exact"/>
        <w:ind w:firstLine="680" w:firstLineChars="200"/>
        <w:rPr>
          <w:rFonts w:ascii="楷体" w:hAnsi="楷体" w:eastAsia="楷体"/>
          <w:bCs/>
          <w:spacing w:val="10"/>
          <w:sz w:val="32"/>
          <w:szCs w:val="32"/>
        </w:rPr>
      </w:pPr>
      <w:r>
        <w:rPr>
          <w:rFonts w:hint="eastAsia" w:ascii="楷体" w:hAnsi="楷体" w:eastAsia="楷体"/>
          <w:bCs/>
          <w:spacing w:val="10"/>
          <w:sz w:val="32"/>
          <w:szCs w:val="32"/>
        </w:rPr>
        <w:t>（四）提升航运服务发展能级。</w:t>
      </w:r>
    </w:p>
    <w:p w14:paraId="66CD90E3">
      <w:pPr>
        <w:spacing w:line="560" w:lineRule="exact"/>
        <w:ind w:firstLine="640" w:firstLineChars="200"/>
        <w:rPr>
          <w:rFonts w:ascii="楷体" w:hAnsi="楷体" w:eastAsia="楷体"/>
          <w:bCs/>
          <w:spacing w:val="10"/>
          <w:sz w:val="32"/>
          <w:szCs w:val="32"/>
        </w:rPr>
      </w:pPr>
      <w:r>
        <w:rPr>
          <w:rFonts w:hint="eastAsia" w:ascii="仿宋_GB2312" w:hAnsi="仿宋" w:eastAsia="仿宋_GB2312"/>
          <w:bCs/>
          <w:sz w:val="32"/>
          <w:szCs w:val="32"/>
        </w:rPr>
        <w:t>1.加快航运要素集聚。</w:t>
      </w:r>
      <w:r>
        <w:rPr>
          <w:rFonts w:hint="eastAsia" w:ascii="仿宋_GB2312" w:hAnsi="仿宋" w:eastAsia="仿宋_GB2312" w:cs="宋体"/>
          <w:kern w:val="0"/>
          <w:sz w:val="32"/>
          <w:szCs w:val="32"/>
        </w:rPr>
        <w:t>发展增量，做强存量，壮大市场主体。强化国际航运枢纽功能，鼓励国内外港航关联企业在广州开展业务，提升本地港口航运物流企业国际服务能力和竞争力。吸引专业特色航运物流公司和航运服务企业及机构落户广州，促进航运服务与实体经济协同发展。支持广州航运交易所建设航运交易中心、港航资讯中心、航运大数据中心和航运经济运行监测中心。积极争取丝路港口国际航运人才培训基地获得上级单位授牌，打造国际航运人才培训品牌。</w:t>
      </w:r>
      <w:r>
        <w:rPr>
          <w:rFonts w:hint="eastAsia" w:ascii="仿宋_GB2312" w:hAnsi="仿宋" w:eastAsia="仿宋_GB2312" w:cs="宋体"/>
          <w:color w:val="000000" w:themeColor="text1"/>
          <w:kern w:val="0"/>
          <w:sz w:val="32"/>
          <w:szCs w:val="32"/>
          <w14:textFill>
            <w14:solidFill>
              <w14:schemeClr w14:val="tx1"/>
            </w14:solidFill>
          </w14:textFill>
        </w:rPr>
        <w:t>编制国际都市游船活力指数及广州国际航运枢纽发展指数，进一步丰富广州航运指标体系</w:t>
      </w:r>
      <w:r>
        <w:rPr>
          <w:rFonts w:hint="eastAsia" w:ascii="楷体" w:hAnsi="楷体" w:eastAsia="楷体" w:cs="宋体"/>
          <w:color w:val="000000" w:themeColor="text1"/>
          <w:kern w:val="0"/>
          <w:sz w:val="32"/>
          <w:szCs w:val="32"/>
          <w14:textFill>
            <w14:solidFill>
              <w14:schemeClr w14:val="tx1"/>
            </w14:solidFill>
          </w14:textFill>
        </w:rPr>
        <w:t>（市港</w:t>
      </w:r>
      <w:r>
        <w:rPr>
          <w:rFonts w:hint="eastAsia" w:ascii="楷体" w:hAnsi="楷体" w:eastAsia="楷体" w:cs="宋体"/>
          <w:kern w:val="0"/>
          <w:sz w:val="32"/>
          <w:szCs w:val="32"/>
        </w:rPr>
        <w:t>务局牵头，市发展改革委、相关区政府、广州港集团、广州航海学院配合）</w:t>
      </w:r>
      <w:r>
        <w:rPr>
          <w:rFonts w:hint="eastAsia" w:ascii="仿宋_GB2312" w:hAnsi="仿宋" w:eastAsia="仿宋_GB2312" w:cs="宋体"/>
          <w:kern w:val="0"/>
          <w:sz w:val="32"/>
          <w:szCs w:val="32"/>
        </w:rPr>
        <w:t>。</w:t>
      </w:r>
    </w:p>
    <w:p w14:paraId="0DF3997E">
      <w:pPr>
        <w:autoSpaceDE w:val="0"/>
        <w:autoSpaceDN w:val="0"/>
        <w:adjustRightInd w:val="0"/>
        <w:spacing w:line="560" w:lineRule="exact"/>
        <w:ind w:firstLine="640" w:firstLineChars="200"/>
        <w:jc w:val="left"/>
        <w:rPr>
          <w:rFonts w:ascii="楷体" w:hAnsi="楷体" w:eastAsia="楷体" w:cs="宋体"/>
          <w:kern w:val="0"/>
          <w:sz w:val="32"/>
          <w:szCs w:val="32"/>
        </w:rPr>
      </w:pPr>
      <w:r>
        <w:rPr>
          <w:rFonts w:hint="eastAsia" w:ascii="仿宋_GB2312" w:hAnsi="仿宋" w:eastAsia="仿宋_GB2312"/>
          <w:bCs/>
          <w:sz w:val="32"/>
          <w:szCs w:val="32"/>
        </w:rPr>
        <w:t>2.发展现代航运金融。</w:t>
      </w:r>
      <w:r>
        <w:rPr>
          <w:rFonts w:hint="eastAsia" w:ascii="仿宋_GB2312" w:hAnsi="仿宋" w:eastAsia="仿宋_GB2312" w:cs="宋体"/>
          <w:kern w:val="0"/>
          <w:sz w:val="32"/>
          <w:szCs w:val="32"/>
        </w:rPr>
        <w:t>对接海南自由贸易港和深圳中国特色社会主义先行示范区建设，把握广东自贸区南沙新区片区、粤港澳大湾区建设等重大机遇，积极利用南沙国际金融岛、南沙现代金融创新服务区等功能区，整合各类航运金融资源，打造广州航运金融集聚区。依托现有航运交易要素平台，推进航运交易、航运指数、航运结算平台建设，进一步扩大航运交易业务规模，积极向国家争取交易场所、交易结算、航运指数衍生品交易资质</w:t>
      </w:r>
      <w:r>
        <w:rPr>
          <w:rFonts w:hint="eastAsia" w:ascii="楷体" w:hAnsi="楷体" w:eastAsia="楷体" w:cs="宋体"/>
          <w:kern w:val="0"/>
          <w:sz w:val="32"/>
          <w:szCs w:val="32"/>
        </w:rPr>
        <w:t>（市地方金融监管局牵头，南沙区政府、市港务局配合）</w:t>
      </w:r>
      <w:r>
        <w:rPr>
          <w:rFonts w:hint="eastAsia" w:ascii="仿宋_GB2312" w:hAnsi="仿宋" w:eastAsia="仿宋_GB2312" w:cs="宋体"/>
          <w:kern w:val="0"/>
          <w:sz w:val="32"/>
          <w:szCs w:val="32"/>
        </w:rPr>
        <w:t>。加强与香港、澳门交流合作、创新发展，探索共建粤港澳大湾区航运要素交易平台的发展路径</w:t>
      </w:r>
      <w:r>
        <w:rPr>
          <w:rFonts w:hint="eastAsia" w:ascii="楷体" w:hAnsi="楷体" w:eastAsia="楷体" w:cs="宋体"/>
          <w:kern w:val="0"/>
          <w:sz w:val="32"/>
          <w:szCs w:val="32"/>
        </w:rPr>
        <w:t>（南沙区政府牵头，市地方金融监管局、市港务局配合）</w:t>
      </w:r>
      <w:r>
        <w:rPr>
          <w:rFonts w:hint="eastAsia" w:ascii="仿宋_GB2312" w:eastAsia="仿宋_GB2312"/>
          <w:sz w:val="32"/>
          <w:szCs w:val="32"/>
        </w:rPr>
        <w:t>。</w:t>
      </w:r>
    </w:p>
    <w:p w14:paraId="67D01343">
      <w:pPr>
        <w:autoSpaceDE w:val="0"/>
        <w:autoSpaceDN w:val="0"/>
        <w:adjustRightInd w:val="0"/>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bCs/>
          <w:sz w:val="32"/>
          <w:szCs w:val="32"/>
        </w:rPr>
        <w:t>3.完善航运服务体系。</w:t>
      </w:r>
      <w:r>
        <w:rPr>
          <w:rFonts w:hint="eastAsia" w:ascii="仿宋_GB2312" w:hAnsi="仿宋" w:eastAsia="仿宋_GB2312" w:cs="宋体"/>
          <w:kern w:val="0"/>
          <w:sz w:val="32"/>
          <w:szCs w:val="32"/>
        </w:rPr>
        <w:t>进一步完善国际船舶登记扶持政策，支持船舶落户“广东南沙”船籍港</w:t>
      </w:r>
      <w:r>
        <w:rPr>
          <w:rFonts w:hint="eastAsia" w:ascii="楷体" w:hAnsi="楷体" w:eastAsia="楷体" w:cs="宋体"/>
          <w:kern w:val="0"/>
          <w:sz w:val="32"/>
          <w:szCs w:val="32"/>
        </w:rPr>
        <w:t>（南沙区政府牵头，市商务局、市港务局、广州海关、广州海事局配合）</w:t>
      </w:r>
      <w:r>
        <w:rPr>
          <w:rFonts w:hint="eastAsia" w:ascii="仿宋_GB2312" w:hAnsi="仿宋" w:eastAsia="仿宋_GB2312" w:cs="宋体"/>
          <w:kern w:val="0"/>
          <w:sz w:val="32"/>
          <w:szCs w:val="32"/>
        </w:rPr>
        <w:t>。支持企业开展LNG</w:t>
      </w:r>
      <w:r>
        <w:rPr>
          <w:rFonts w:ascii="仿宋_GB2312" w:hAnsi="仿宋" w:eastAsia="仿宋_GB2312" w:cs="宋体"/>
          <w:kern w:val="0"/>
          <w:sz w:val="32"/>
          <w:szCs w:val="32"/>
        </w:rPr>
        <w:t>加注业务</w:t>
      </w:r>
      <w:r>
        <w:rPr>
          <w:rFonts w:hint="eastAsia" w:ascii="仿宋_GB2312" w:hAnsi="仿宋" w:eastAsia="仿宋_GB2312" w:cs="宋体"/>
          <w:kern w:val="0"/>
          <w:sz w:val="32"/>
          <w:szCs w:val="32"/>
        </w:rPr>
        <w:t>。争取国家支持，发展船舶保税油供应服务，打造更加开放的营商环境，构建有竞争力的价格优势，以成熟健全的配套服务吸引船舶来港</w:t>
      </w:r>
      <w:r>
        <w:rPr>
          <w:rFonts w:hint="eastAsia" w:ascii="楷体" w:hAnsi="楷体" w:eastAsia="楷体" w:cs="宋体"/>
          <w:kern w:val="0"/>
          <w:sz w:val="32"/>
          <w:szCs w:val="32"/>
        </w:rPr>
        <w:t>（市商务局牵头，广州海关、黄埔海关、市工业和信息化局、市港务局、南沙区政府配合）</w:t>
      </w:r>
      <w:r>
        <w:rPr>
          <w:rFonts w:hint="eastAsia" w:ascii="仿宋_GB2312" w:hAnsi="仿宋" w:eastAsia="仿宋_GB2312" w:cs="宋体"/>
          <w:kern w:val="0"/>
          <w:sz w:val="32"/>
          <w:szCs w:val="32"/>
        </w:rPr>
        <w:t>。推进中船龙穴修造船基地扩建，提高船舶和海洋工程平台修造能力</w:t>
      </w:r>
      <w:r>
        <w:rPr>
          <w:rFonts w:hint="eastAsia" w:ascii="楷体" w:hAnsi="楷体" w:eastAsia="楷体" w:cs="宋体"/>
          <w:kern w:val="0"/>
          <w:sz w:val="32"/>
          <w:szCs w:val="32"/>
        </w:rPr>
        <w:t>（南沙区政府、中船黄埔文冲船舶有限公司牵头，市工业和信息化局配合）</w:t>
      </w:r>
      <w:r>
        <w:rPr>
          <w:rFonts w:hint="eastAsia" w:ascii="仿宋_GB2312" w:hAnsi="仿宋" w:eastAsia="仿宋_GB2312" w:cs="宋体"/>
          <w:kern w:val="0"/>
          <w:sz w:val="32"/>
          <w:szCs w:val="32"/>
        </w:rPr>
        <w:t>。</w:t>
      </w:r>
    </w:p>
    <w:p w14:paraId="71510A57">
      <w:pPr>
        <w:autoSpaceDE w:val="0"/>
        <w:autoSpaceDN w:val="0"/>
        <w:adjustRightIn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bCs/>
          <w:sz w:val="32"/>
          <w:szCs w:val="32"/>
        </w:rPr>
        <w:t>4.提高海事法律服务水平。</w:t>
      </w:r>
      <w:r>
        <w:rPr>
          <w:rFonts w:hint="eastAsia" w:ascii="仿宋_GB2312" w:hAnsi="仿宋" w:eastAsia="仿宋_GB2312"/>
          <w:sz w:val="32"/>
          <w:szCs w:val="32"/>
        </w:rPr>
        <w:t>发挥最高人民法院国际海事司法广州基地和广州国际航运司法研究中心的平台影响力，积极组织召开国际海事法律相关论坛和研讨活动，加强海事审判与理论研究工作</w:t>
      </w:r>
      <w:r>
        <w:rPr>
          <w:rFonts w:hint="eastAsia" w:ascii="楷体" w:hAnsi="楷体" w:eastAsia="楷体"/>
          <w:sz w:val="32"/>
          <w:szCs w:val="32"/>
        </w:rPr>
        <w:t>（广州海事法院牵头，市司法局配合）</w:t>
      </w:r>
      <w:r>
        <w:rPr>
          <w:rFonts w:hint="eastAsia" w:ascii="仿宋_GB2312" w:hAnsi="仿宋" w:eastAsia="仿宋_GB2312"/>
          <w:sz w:val="32"/>
          <w:szCs w:val="32"/>
        </w:rPr>
        <w:t>。充分发挥广州仲裁委员会、广州国际航运仲裁院专业优势，加强与国内外知名仲裁机构的交流与合作，引导港航企业在合同中选择南沙国际仲裁中心作为争议解决机构，鼓励南沙国际仲裁中心在南沙自由贸易试验区提供更为灵活的仲裁服务</w:t>
      </w:r>
      <w:r>
        <w:rPr>
          <w:rFonts w:hint="eastAsia" w:ascii="楷体" w:hAnsi="楷体" w:eastAsia="楷体"/>
          <w:sz w:val="32"/>
          <w:szCs w:val="32"/>
        </w:rPr>
        <w:t>（广州仲裁委牵头，市司法局配合）</w:t>
      </w:r>
      <w:r>
        <w:rPr>
          <w:rFonts w:hint="eastAsia" w:ascii="仿宋_GB2312" w:hAnsi="仿宋" w:eastAsia="仿宋_GB2312"/>
          <w:sz w:val="32"/>
          <w:szCs w:val="32"/>
        </w:rPr>
        <w:t>。推动“一带一路”律师联盟广州中心发展，持续推进粤港澳大湾区暨“一带一路”（广州·南沙）法律服务集聚区建设，继续举办“广州海法论坛”，深化粤港澳联营律师事务所试点工作及穗港澳律师同业交流合作</w:t>
      </w:r>
      <w:r>
        <w:rPr>
          <w:rFonts w:hint="eastAsia" w:ascii="楷体" w:hAnsi="楷体" w:eastAsia="楷体"/>
          <w:sz w:val="32"/>
          <w:szCs w:val="32"/>
        </w:rPr>
        <w:t>（市司法局、南沙区政府、广州海事法院牵头）</w:t>
      </w:r>
      <w:r>
        <w:rPr>
          <w:rFonts w:hint="eastAsia" w:ascii="仿宋_GB2312" w:hAnsi="仿宋" w:eastAsia="仿宋_GB2312"/>
          <w:sz w:val="32"/>
          <w:szCs w:val="32"/>
        </w:rPr>
        <w:t xml:space="preserve">。             </w:t>
      </w:r>
    </w:p>
    <w:p w14:paraId="201312B7">
      <w:pPr>
        <w:autoSpaceDE w:val="0"/>
        <w:autoSpaceDN w:val="0"/>
        <w:adjustRightIn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bCs/>
          <w:sz w:val="32"/>
          <w:szCs w:val="32"/>
        </w:rPr>
        <w:t>5.做优做强水上休闲品牌。</w:t>
      </w:r>
      <w:r>
        <w:rPr>
          <w:rFonts w:hint="eastAsia" w:ascii="仿宋_GB2312" w:hAnsi="仿宋" w:eastAsia="仿宋_GB2312"/>
          <w:sz w:val="32"/>
          <w:szCs w:val="32"/>
        </w:rPr>
        <w:t>引导珠江游绿色发展，支持珠江游电动船示范项目建设。研发多样化的景点与珠江游联游产品，倡导在珠江游船上开展广州特色文化休闲活动，提升“珠江游”城市旅游品牌吸引力</w:t>
      </w:r>
      <w:r>
        <w:rPr>
          <w:rFonts w:hint="eastAsia" w:ascii="楷体" w:hAnsi="楷体" w:eastAsia="楷体"/>
          <w:sz w:val="32"/>
          <w:szCs w:val="32"/>
        </w:rPr>
        <w:t>（市港务局牵头，广州海事局、市文化广电旅游局、广州港集团配合</w:t>
      </w:r>
      <w:r>
        <w:rPr>
          <w:rFonts w:hint="eastAsia" w:ascii="仿宋_GB2312" w:hAnsi="仿宋" w:eastAsia="仿宋_GB2312"/>
          <w:sz w:val="32"/>
          <w:szCs w:val="32"/>
        </w:rPr>
        <w:t>）。推动在大沙头沿江发展航运特色经济</w:t>
      </w:r>
      <w:r>
        <w:rPr>
          <w:rFonts w:hint="eastAsia" w:ascii="仿宋_GB2312" w:hAnsi="微软雅黑" w:eastAsia="仿宋_GB2312"/>
          <w:spacing w:val="-6"/>
          <w:sz w:val="32"/>
          <w:szCs w:val="32"/>
        </w:rPr>
        <w:t>，提升越秀区“夜经济”活力</w:t>
      </w:r>
      <w:r>
        <w:rPr>
          <w:rFonts w:hint="eastAsia" w:ascii="楷体" w:hAnsi="楷体" w:eastAsia="楷体"/>
          <w:sz w:val="32"/>
          <w:szCs w:val="32"/>
        </w:rPr>
        <w:t>（越秀区政府、广州港集团牵头，市住房城乡建设局、市商务局、市港务局配合）</w:t>
      </w:r>
      <w:r>
        <w:rPr>
          <w:rFonts w:hint="eastAsia" w:ascii="仿宋_GB2312" w:hAnsi="微软雅黑" w:eastAsia="仿宋_GB2312"/>
          <w:spacing w:val="-6"/>
          <w:sz w:val="32"/>
          <w:szCs w:val="32"/>
        </w:rPr>
        <w:t>。</w:t>
      </w:r>
      <w:r>
        <w:rPr>
          <w:rFonts w:hint="eastAsia" w:ascii="仿宋_GB2312" w:hAnsi="仿宋" w:eastAsia="仿宋_GB2312"/>
          <w:sz w:val="32"/>
          <w:szCs w:val="32"/>
        </w:rPr>
        <w:t>促进邮轮游艇产业发展，调整优化邮轮产业扶持政策措施，积极申报建设南沙邮轮旅游实验区</w:t>
      </w:r>
      <w:r>
        <w:rPr>
          <w:rFonts w:hint="eastAsia" w:ascii="楷体" w:hAnsi="楷体" w:eastAsia="楷体"/>
          <w:sz w:val="32"/>
          <w:szCs w:val="32"/>
        </w:rPr>
        <w:t>（市商务局、南沙区政府牵头，市港务局、市文化广电旅游局、广州海关、广州港集团配合）。</w:t>
      </w:r>
      <w:r>
        <w:rPr>
          <w:rFonts w:hint="eastAsia" w:ascii="仿宋_GB2312" w:hAnsi="仿宋" w:eastAsia="仿宋_GB2312"/>
          <w:sz w:val="32"/>
          <w:szCs w:val="32"/>
        </w:rPr>
        <w:t>支持在黄埔老港开发中小型邮轮、游船旅游航线</w:t>
      </w:r>
      <w:r>
        <w:rPr>
          <w:rFonts w:hint="eastAsia" w:ascii="楷体" w:hAnsi="楷体" w:eastAsia="楷体"/>
          <w:sz w:val="32"/>
          <w:szCs w:val="32"/>
        </w:rPr>
        <w:t>（黄埔区政府牵头，市商务局、市港务局、市文化广电旅游局配合）</w:t>
      </w:r>
      <w:r>
        <w:rPr>
          <w:rFonts w:hint="eastAsia" w:ascii="仿宋_GB2312" w:hAnsi="仿宋" w:eastAsia="仿宋_GB2312"/>
          <w:sz w:val="32"/>
          <w:szCs w:val="32"/>
        </w:rPr>
        <w:t>。探索邮轮船舶供应服务便利化，积极推动开展广州至海南等地沿海客滚邮轮运输研究</w:t>
      </w:r>
      <w:r>
        <w:rPr>
          <w:rFonts w:hint="eastAsia" w:ascii="楷体" w:hAnsi="楷体" w:eastAsia="楷体"/>
          <w:sz w:val="32"/>
          <w:szCs w:val="32"/>
        </w:rPr>
        <w:t>（广州港集团牵头，市港务局、广州海关、广州海事局配合）</w:t>
      </w:r>
      <w:r>
        <w:rPr>
          <w:rFonts w:hint="eastAsia" w:ascii="仿宋_GB2312" w:hAnsi="仿宋" w:eastAsia="仿宋_GB2312"/>
          <w:sz w:val="32"/>
          <w:szCs w:val="32"/>
        </w:rPr>
        <w:t>。探索开发广州至珠江口、西江、北江以及海南、西沙群岛等地以及沿海邮轮游船旅游</w:t>
      </w:r>
      <w:r>
        <w:rPr>
          <w:rFonts w:hint="eastAsia" w:ascii="楷体" w:hAnsi="楷体" w:eastAsia="楷体"/>
          <w:sz w:val="32"/>
          <w:szCs w:val="32"/>
        </w:rPr>
        <w:t>（市港务局牵头，市文化广电旅游局、广州港集团配合）</w:t>
      </w:r>
      <w:r>
        <w:rPr>
          <w:rFonts w:hint="eastAsia" w:ascii="仿宋_GB2312" w:hAnsi="仿宋" w:eastAsia="仿宋_GB2312"/>
          <w:sz w:val="32"/>
          <w:szCs w:val="32"/>
        </w:rPr>
        <w:t>。争取南沙口岸实施外国人144小时过境免签和外国旅游团乘坐邮轮入境15天免签等相关便利政策</w:t>
      </w:r>
      <w:r>
        <w:rPr>
          <w:rFonts w:hint="eastAsia" w:ascii="楷体" w:hAnsi="楷体" w:eastAsia="楷体"/>
          <w:sz w:val="32"/>
          <w:szCs w:val="32"/>
        </w:rPr>
        <w:t>（市公安局牵头，广州边检总站配合）</w:t>
      </w:r>
      <w:r>
        <w:rPr>
          <w:rFonts w:hint="eastAsia" w:ascii="仿宋_GB2312" w:hAnsi="仿宋" w:eastAsia="仿宋_GB2312"/>
          <w:sz w:val="32"/>
          <w:szCs w:val="32"/>
        </w:rPr>
        <w:t>。</w:t>
      </w:r>
    </w:p>
    <w:p w14:paraId="246C62F6">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（五）强化智慧港口建设。</w:t>
      </w:r>
    </w:p>
    <w:p w14:paraId="4A8A36A6">
      <w:pPr>
        <w:spacing w:line="560" w:lineRule="exact"/>
        <w:ind w:firstLine="640" w:firstLineChars="200"/>
        <w:rPr>
          <w:rFonts w:ascii="楷体" w:hAnsi="楷体" w:eastAsia="楷体" w:cs="新宋体"/>
          <w:sz w:val="32"/>
          <w:szCs w:val="32"/>
        </w:rPr>
      </w:pPr>
      <w:r>
        <w:rPr>
          <w:rFonts w:hint="eastAsia" w:ascii="仿宋_GB2312" w:hAnsi="仿宋" w:eastAsia="仿宋_GB2312"/>
          <w:bCs/>
          <w:sz w:val="32"/>
          <w:szCs w:val="32"/>
        </w:rPr>
        <w:t>1.建设港航业数字化基础设施体系。</w:t>
      </w:r>
      <w:r>
        <w:rPr>
          <w:rFonts w:hint="eastAsia" w:ascii="仿宋_GB2312" w:hAnsi="仿宋" w:eastAsia="仿宋_GB2312" w:cs="新宋体"/>
          <w:sz w:val="32"/>
          <w:szCs w:val="32"/>
        </w:rPr>
        <w:t>推动先进技术在港口装备中的应用，通过5G、人工智能、物联网、自动化等技术的示范应用，在码头生产作业自动化、生产调度智能化以及信息服务数字化方面建立示范工程。推进南沙港区四期全自动化码头和南沙港区三期自动化堆场二期项目建设</w:t>
      </w:r>
      <w:r>
        <w:rPr>
          <w:rFonts w:hint="eastAsia" w:ascii="楷体" w:hAnsi="楷体" w:eastAsia="楷体" w:cs="新宋体"/>
          <w:sz w:val="32"/>
          <w:szCs w:val="32"/>
        </w:rPr>
        <w:t>（广州港集团牵头，市港务局、市工业和信息化局、南沙区政府配合）</w:t>
      </w:r>
      <w:r>
        <w:rPr>
          <w:rFonts w:hint="eastAsia" w:ascii="仿宋_GB2312" w:hAnsi="仿宋" w:eastAsia="仿宋_GB2312" w:cs="新宋体"/>
          <w:sz w:val="32"/>
          <w:szCs w:val="32"/>
        </w:rPr>
        <w:t>。升级改造港区视频监控网络，实现广州港出海航道的重要水域、重点码头、危险品码头的高清视频监控网络覆盖。对港航企业视频监控系统进行整合，对监控未覆盖的重点区域增加监控点。完善航道测量、航标、航道水文等数据的采集，加快智慧航道建设。加快进出港船舶调度所需的通讯、雷达、船舶识别系统和基站建设，满足珠江口船舶通航密度快速增长的需要，确保港口安全，提高港口综合服务能力</w:t>
      </w:r>
      <w:r>
        <w:rPr>
          <w:rFonts w:hint="eastAsia" w:ascii="楷体" w:hAnsi="楷体" w:eastAsia="楷体" w:cs="新宋体"/>
          <w:sz w:val="32"/>
          <w:szCs w:val="32"/>
        </w:rPr>
        <w:t>（市港务局牵头，广州海事局、广州海关、广州港集团配合）</w:t>
      </w:r>
      <w:r>
        <w:rPr>
          <w:rFonts w:hint="eastAsia" w:ascii="仿宋_GB2312" w:hAnsi="仿宋" w:eastAsia="仿宋_GB2312" w:cs="新宋体"/>
          <w:sz w:val="32"/>
          <w:szCs w:val="32"/>
        </w:rPr>
        <w:t>。</w:t>
      </w:r>
      <w:r>
        <w:rPr>
          <w:rFonts w:hint="eastAsia" w:ascii="楷体" w:hAnsi="楷体" w:eastAsia="楷体" w:cs="新宋体"/>
          <w:sz w:val="32"/>
          <w:szCs w:val="32"/>
        </w:rPr>
        <w:t xml:space="preserve"> </w:t>
      </w:r>
    </w:p>
    <w:p w14:paraId="419CD6D8">
      <w:pPr>
        <w:spacing w:line="560" w:lineRule="exact"/>
        <w:ind w:firstLine="640" w:firstLineChars="200"/>
        <w:rPr>
          <w:rFonts w:ascii="楷体" w:hAnsi="楷体" w:eastAsia="楷体" w:cs="新宋体"/>
          <w:sz w:val="32"/>
          <w:szCs w:val="32"/>
        </w:rPr>
      </w:pPr>
      <w:r>
        <w:rPr>
          <w:rFonts w:hint="eastAsia" w:ascii="仿宋_GB2312" w:hAnsi="仿宋" w:eastAsia="仿宋_GB2312"/>
          <w:bCs/>
          <w:sz w:val="32"/>
          <w:szCs w:val="32"/>
        </w:rPr>
        <w:t>2.强化港航数字化服务能力。</w:t>
      </w:r>
      <w:r>
        <w:rPr>
          <w:rFonts w:hint="eastAsia" w:ascii="仿宋_GB2312" w:hAnsi="仿宋" w:eastAsia="仿宋_GB2312" w:cs="新宋体"/>
          <w:sz w:val="32"/>
          <w:szCs w:val="32"/>
        </w:rPr>
        <w:t>持续深化综合调度管理与指挥平台建设，利用人工智能、云计算、大数据分析等技术改进船舶调度信息数据的采集、编排、统计分析，优化船舶运营效率等。完善引航综合信息系统平台，整合船舶动态导航系统、引航动态监控系统、船舶调度监控系统，促进引航、调度与港航企业信息的互联互通。打造“互联网+航运”信息化平台，建成广东航运交易综合信息服务平台（二期），完善航运保险要素交易平台等平台建设</w:t>
      </w:r>
      <w:r>
        <w:rPr>
          <w:rFonts w:hint="eastAsia" w:ascii="楷体" w:hAnsi="楷体" w:eastAsia="楷体" w:cs="新宋体"/>
          <w:sz w:val="32"/>
          <w:szCs w:val="32"/>
        </w:rPr>
        <w:t>（市港务局牵头，广州港集团、广州海关配合）</w:t>
      </w:r>
      <w:r>
        <w:rPr>
          <w:rFonts w:hint="eastAsia" w:ascii="仿宋_GB2312" w:hAnsi="仿宋" w:eastAsia="仿宋_GB2312" w:cs="新宋体"/>
          <w:sz w:val="32"/>
          <w:szCs w:val="32"/>
        </w:rPr>
        <w:t>。</w:t>
      </w:r>
    </w:p>
    <w:p w14:paraId="3458C61C">
      <w:pPr>
        <w:spacing w:line="560" w:lineRule="exact"/>
        <w:rPr>
          <w:rFonts w:ascii="楷体" w:hAnsi="楷体" w:eastAsia="楷体"/>
          <w:bCs/>
          <w:spacing w:val="10"/>
          <w:sz w:val="32"/>
          <w:szCs w:val="32"/>
        </w:rPr>
      </w:pPr>
      <w:r>
        <w:rPr>
          <w:rFonts w:hint="eastAsia" w:ascii="新宋体" w:hAnsi="新宋体" w:eastAsia="楷体" w:cs="新宋体"/>
          <w:sz w:val="32"/>
          <w:szCs w:val="32"/>
        </w:rPr>
        <w:t> </w:t>
      </w:r>
      <w:r>
        <w:rPr>
          <w:rFonts w:hint="eastAsia" w:ascii="楷体" w:hAnsi="楷体" w:eastAsia="楷体" w:cs="新宋体"/>
          <w:sz w:val="32"/>
          <w:szCs w:val="32"/>
        </w:rPr>
        <w:t xml:space="preserve">  </w:t>
      </w:r>
      <w:r>
        <w:rPr>
          <w:rFonts w:hint="eastAsia" w:ascii="楷体" w:hAnsi="楷体" w:eastAsia="楷体"/>
          <w:bCs/>
          <w:spacing w:val="10"/>
          <w:sz w:val="32"/>
          <w:szCs w:val="32"/>
        </w:rPr>
        <w:t>（六）持续优化港航营商环境。</w:t>
      </w:r>
    </w:p>
    <w:p w14:paraId="5AA95FA2">
      <w:pPr>
        <w:spacing w:line="560" w:lineRule="exact"/>
        <w:ind w:firstLine="640" w:firstLineChars="200"/>
        <w:rPr>
          <w:rFonts w:ascii="仿宋_GB2312" w:eastAsia="仿宋_GB2312"/>
          <w:sz w:val="32"/>
          <w:szCs w:val="32"/>
        </w:rPr>
      </w:pPr>
      <w:r>
        <w:rPr>
          <w:rFonts w:hint="eastAsia" w:ascii="仿宋_GB2312" w:hAnsi="仿宋" w:eastAsia="仿宋_GB2312"/>
          <w:bCs/>
          <w:sz w:val="32"/>
          <w:szCs w:val="32"/>
        </w:rPr>
        <w:t>1.推进港口物流降本增效。</w:t>
      </w:r>
      <w:r>
        <w:rPr>
          <w:rFonts w:hint="eastAsia" w:ascii="仿宋_GB2312" w:eastAsia="仿宋_GB2312"/>
          <w:sz w:val="32"/>
          <w:szCs w:val="32"/>
        </w:rPr>
        <w:t>深化物流业降本增效工作，进一步降低进出口环节制度性成本。完善口岸收费目录清单制度，清单之外一律不得收费，引导推动降低代理服务企业的收费水平。按照政策要求，推进全市港口口岸实施政府免除查验没有问题外贸企业吊装、移位、仓储费用试点</w:t>
      </w:r>
      <w:r>
        <w:rPr>
          <w:rFonts w:hint="eastAsia" w:ascii="楷体" w:hAnsi="楷体" w:eastAsia="楷体"/>
          <w:sz w:val="32"/>
          <w:szCs w:val="32"/>
        </w:rPr>
        <w:t>（市商务局、市港务局牵头）</w:t>
      </w:r>
      <w:r>
        <w:rPr>
          <w:rFonts w:hint="eastAsia" w:ascii="仿宋_GB2312" w:eastAsia="仿宋_GB2312"/>
          <w:sz w:val="32"/>
          <w:szCs w:val="32"/>
        </w:rPr>
        <w:t>。对照国际一流大港，优化船舶调度和引航服务，打造高效便捷的公共服务。大力提升港口管理运营水平，提升装卸作业效率和服务质量</w:t>
      </w:r>
      <w:r>
        <w:rPr>
          <w:rFonts w:hint="eastAsia" w:ascii="楷体" w:hAnsi="楷体" w:eastAsia="楷体"/>
          <w:sz w:val="32"/>
          <w:szCs w:val="32"/>
        </w:rPr>
        <w:t>（市港务局、广州港集团牵头）</w:t>
      </w:r>
      <w:r>
        <w:rPr>
          <w:rFonts w:hint="eastAsia" w:ascii="仿宋_GB2312" w:eastAsia="仿宋_GB2312"/>
          <w:sz w:val="32"/>
          <w:szCs w:val="32"/>
        </w:rPr>
        <w:t>。</w:t>
      </w:r>
    </w:p>
    <w:p w14:paraId="58162E6E">
      <w:pPr>
        <w:spacing w:line="560" w:lineRule="exact"/>
        <w:ind w:firstLine="640" w:firstLineChars="200"/>
        <w:rPr>
          <w:rFonts w:ascii="楷体" w:hAnsi="楷体" w:eastAsia="楷体"/>
          <w:sz w:val="32"/>
          <w:szCs w:val="32"/>
        </w:rPr>
      </w:pPr>
      <w:r>
        <w:rPr>
          <w:rFonts w:hint="eastAsia" w:ascii="仿宋_GB2312" w:hAnsi="仿宋" w:eastAsia="仿宋_GB2312"/>
          <w:bCs/>
          <w:sz w:val="32"/>
          <w:szCs w:val="32"/>
        </w:rPr>
        <w:t>2.提升口岸服务水平。</w:t>
      </w:r>
      <w:r>
        <w:rPr>
          <w:rFonts w:hint="eastAsia" w:ascii="仿宋_GB2312" w:eastAsia="仿宋_GB2312"/>
          <w:sz w:val="32"/>
          <w:szCs w:val="32"/>
        </w:rPr>
        <w:t>全面应用新一代通关系统， 深入推进货物领域“查检合一”，深化口岸电子放行管理模式改革，完善港口口岸24小时智能通关，推广“提前申报”“船边直提”“运抵直装”等新模式。推广关税保证保险业务。完善关港信息交互平台，建立企业、港口和海关等口岸监管部门信息共享、数据联动的机制，实现口岸“通关+物流”的一体化服务联动</w:t>
      </w:r>
      <w:r>
        <w:rPr>
          <w:rFonts w:hint="eastAsia" w:ascii="仿宋_GB2312" w:eastAsia="仿宋_GB2312" w:cs="宋体"/>
          <w:kern w:val="0"/>
          <w:sz w:val="32"/>
          <w:szCs w:val="32"/>
        </w:rPr>
        <w:t>，推进口岸通关全流程无纸化、智能化，打造“一站式”贸易服务平台。</w:t>
      </w:r>
      <w:r>
        <w:rPr>
          <w:rFonts w:hint="eastAsia" w:ascii="仿宋_GB2312" w:eastAsia="仿宋_GB2312"/>
          <w:sz w:val="32"/>
          <w:szCs w:val="32"/>
        </w:rPr>
        <w:t>探索推进广州国际贸易“单一窗口”与港澳在信息共享、业务监管等方面的对接与合作。优化进出港国际航线船舶维修备件、燃油服务通关申报手续，压缩通关时间</w:t>
      </w:r>
      <w:r>
        <w:rPr>
          <w:rFonts w:hint="eastAsia" w:ascii="楷体" w:hAnsi="楷体" w:eastAsia="楷体"/>
          <w:sz w:val="32"/>
          <w:szCs w:val="32"/>
        </w:rPr>
        <w:t>（市商务局牵头，广州海关、黄埔海关、广州边检总站、广州海事局、市港务局、广州港集团配合）</w:t>
      </w:r>
      <w:r>
        <w:rPr>
          <w:rFonts w:hint="eastAsia" w:ascii="仿宋_GB2312" w:eastAsia="仿宋_GB2312"/>
          <w:sz w:val="32"/>
          <w:szCs w:val="32"/>
        </w:rPr>
        <w:t>。</w:t>
      </w:r>
    </w:p>
    <w:p w14:paraId="66BF4FF1">
      <w:pPr>
        <w:spacing w:line="560" w:lineRule="exact"/>
        <w:ind w:firstLine="640" w:firstLineChars="200"/>
        <w:rPr>
          <w:rFonts w:ascii="楷体" w:hAnsi="楷体" w:eastAsia="楷体"/>
          <w:sz w:val="32"/>
          <w:szCs w:val="32"/>
        </w:rPr>
      </w:pPr>
      <w:r>
        <w:rPr>
          <w:rFonts w:hint="eastAsia" w:ascii="仿宋_GB2312" w:hAnsi="仿宋" w:eastAsia="仿宋_GB2312"/>
          <w:bCs/>
          <w:sz w:val="32"/>
          <w:szCs w:val="32"/>
        </w:rPr>
        <w:t>3.扩大口岸开放。</w:t>
      </w:r>
      <w:r>
        <w:rPr>
          <w:rFonts w:hint="eastAsia" w:ascii="仿宋_GB2312" w:hAnsi="Times New Roman" w:eastAsia="仿宋_GB2312"/>
          <w:sz w:val="32"/>
          <w:szCs w:val="32"/>
        </w:rPr>
        <w:t>推进琶洲港澳客运口岸、穗港客运码头、黄埔国际邮轮城、黄埔新港二期、南沙港区四期、南沙邮轮母港和广州港大屿山锚地等口岸对外开放建设</w:t>
      </w:r>
      <w:r>
        <w:rPr>
          <w:rFonts w:hint="eastAsia" w:ascii="楷体" w:hAnsi="楷体" w:eastAsia="楷体"/>
          <w:sz w:val="32"/>
          <w:szCs w:val="32"/>
        </w:rPr>
        <w:t>（市商务局牵头，广州海关、黄埔海关、广州边检总站、广州海事局、市港务局、广州港集团配合）</w:t>
      </w:r>
      <w:r>
        <w:rPr>
          <w:rFonts w:hint="eastAsia" w:ascii="仿宋_GB2312" w:hAnsi="Times New Roman" w:eastAsia="仿宋_GB2312"/>
          <w:sz w:val="32"/>
          <w:szCs w:val="32"/>
        </w:rPr>
        <w:t>。</w:t>
      </w:r>
    </w:p>
    <w:p w14:paraId="59DB99FE">
      <w:pPr>
        <w:spacing w:line="560" w:lineRule="exact"/>
        <w:ind w:firstLine="703" w:firstLineChars="207"/>
        <w:rPr>
          <w:rFonts w:ascii="楷体" w:hAnsi="楷体" w:eastAsia="楷体"/>
          <w:bCs/>
          <w:spacing w:val="10"/>
          <w:sz w:val="32"/>
          <w:szCs w:val="32"/>
        </w:rPr>
      </w:pPr>
      <w:r>
        <w:rPr>
          <w:rFonts w:hint="eastAsia" w:ascii="楷体" w:hAnsi="楷体" w:eastAsia="楷体"/>
          <w:bCs/>
          <w:spacing w:val="10"/>
          <w:sz w:val="32"/>
          <w:szCs w:val="32"/>
        </w:rPr>
        <w:t>（七）推进建设绿色安全港航。</w:t>
      </w:r>
    </w:p>
    <w:p w14:paraId="09DB34AA">
      <w:pPr>
        <w:autoSpaceDE w:val="0"/>
        <w:autoSpaceDN w:val="0"/>
        <w:spacing w:line="560" w:lineRule="exact"/>
        <w:ind w:firstLine="640" w:firstLineChars="200"/>
        <w:rPr>
          <w:rFonts w:ascii="楷体" w:hAnsi="楷体" w:eastAsia="楷体" w:cs="宋体"/>
          <w:bCs/>
          <w:kern w:val="0"/>
          <w:sz w:val="32"/>
          <w:szCs w:val="32"/>
          <w:lang w:val="zh-CN"/>
        </w:rPr>
      </w:pPr>
      <w:r>
        <w:rPr>
          <w:rFonts w:hint="eastAsia" w:ascii="仿宋_GB2312" w:hAnsi="仿宋" w:eastAsia="仿宋_GB2312"/>
          <w:bCs/>
          <w:sz w:val="32"/>
          <w:szCs w:val="32"/>
          <w:lang w:val="zh-CN"/>
        </w:rPr>
        <w:t>1.推动港口用能清洁化。</w:t>
      </w:r>
      <w:r>
        <w:rPr>
          <w:rFonts w:hint="eastAsia" w:ascii="仿宋_GB2312" w:eastAsia="仿宋_GB2312" w:cs="宋体"/>
          <w:bCs/>
          <w:kern w:val="0"/>
          <w:sz w:val="32"/>
          <w:szCs w:val="32"/>
          <w:lang w:val="zh-CN"/>
        </w:rPr>
        <w:t>顺应全球港口绿色低碳发展趋势，开展港口碳达峰碳中和研究。强化新能源在港口行业的规划布局，构建多元能源应用体系，促进港口清洁生产水平和生产用能抗风险能力双提升。强化政策引导和支持力度，促进港区与城市供能设施的衔接，稳步扩大清洁能源设施设备的应用，大力推进LNG等清洁能源动力船舶及配套供能设备的建造，多措并举推动岸电使用。严格落实节能减排目标责任，持续推动高能耗高污染老旧机械车辆淘汰改造，提升节能减排效果</w:t>
      </w:r>
      <w:r>
        <w:rPr>
          <w:rFonts w:hint="eastAsia" w:ascii="楷体" w:hAnsi="楷体" w:eastAsia="楷体"/>
          <w:sz w:val="32"/>
          <w:szCs w:val="32"/>
        </w:rPr>
        <w:t>（市港务局、市工业和信息化局牵头，市生态环境局、广州海事局、市发展改革委、广州港集团配合）</w:t>
      </w:r>
      <w:r>
        <w:rPr>
          <w:rFonts w:hint="eastAsia" w:ascii="仿宋_GB2312" w:eastAsia="仿宋_GB2312" w:cs="宋体"/>
          <w:bCs/>
          <w:kern w:val="0"/>
          <w:sz w:val="32"/>
          <w:szCs w:val="32"/>
          <w:lang w:val="zh-CN"/>
        </w:rPr>
        <w:t>。</w:t>
      </w:r>
    </w:p>
    <w:p w14:paraId="3C868B47">
      <w:pPr>
        <w:autoSpaceDE w:val="0"/>
        <w:autoSpaceDN w:val="0"/>
        <w:adjustRightInd w:val="0"/>
        <w:spacing w:line="560" w:lineRule="exact"/>
        <w:ind w:firstLine="640" w:firstLineChars="200"/>
        <w:jc w:val="left"/>
        <w:rPr>
          <w:rFonts w:ascii="仿宋_GB2312" w:eastAsia="仿宋_GB2312" w:cs="宋体"/>
          <w:bCs/>
          <w:kern w:val="0"/>
          <w:sz w:val="32"/>
          <w:szCs w:val="32"/>
          <w:lang w:val="zh-CN"/>
        </w:rPr>
      </w:pPr>
      <w:r>
        <w:rPr>
          <w:rFonts w:hint="eastAsia" w:ascii="仿宋_GB2312" w:hAnsi="仿宋" w:eastAsia="仿宋_GB2312"/>
          <w:bCs/>
          <w:sz w:val="32"/>
          <w:szCs w:val="32"/>
          <w:lang w:val="zh-CN"/>
        </w:rPr>
        <w:t>2.优化污染治理模式。</w:t>
      </w:r>
      <w:r>
        <w:rPr>
          <w:rFonts w:hint="eastAsia" w:ascii="仿宋_GB2312" w:eastAsia="仿宋_GB2312" w:cs="宋体"/>
          <w:bCs/>
          <w:kern w:val="0"/>
          <w:sz w:val="32"/>
          <w:szCs w:val="32"/>
          <w:lang w:val="zh-CN"/>
        </w:rPr>
        <w:t>夯实港口污染防治工作基础，强化联合监管力度，畅通企业环境信用评价体系，提升行业环保准入条件。围绕港口和船舶污染防治重点，规范岸电建设和使用、转用低硫油、干散货码头扬尘污染治理、船舶水污染物接收转运处置等工作。增强规划引领作用，新建港区同步推进环保设施的规划建设和综合利用，推动新建石化码头同步建设油气回收设施。新建港口码头按“三同时”要求做好船舶水污染物接收处置设施的配套建设，推进现有码头按法律法规要求逐步实施船舶水污染物接收设施改造，提升船舶水污染物接收能力。加快“互联网+”绿色港口建设步伐，助力港口生态环保管理模式升级，促进跨部门信息共享，提升部门联合监管力度</w:t>
      </w:r>
      <w:r>
        <w:rPr>
          <w:rFonts w:hint="eastAsia" w:ascii="楷体" w:hAnsi="楷体" w:eastAsia="楷体"/>
          <w:sz w:val="32"/>
          <w:szCs w:val="32"/>
        </w:rPr>
        <w:t>（市港务局牵头，市生态环境局、广州海事局、广州港集团配合）</w:t>
      </w:r>
      <w:r>
        <w:rPr>
          <w:rFonts w:hint="eastAsia" w:ascii="仿宋_GB2312" w:eastAsia="仿宋_GB2312" w:cs="宋体"/>
          <w:bCs/>
          <w:kern w:val="0"/>
          <w:sz w:val="32"/>
          <w:szCs w:val="32"/>
          <w:lang w:val="zh-CN"/>
        </w:rPr>
        <w:t>。</w:t>
      </w:r>
    </w:p>
    <w:p w14:paraId="4E5500B7">
      <w:pPr>
        <w:autoSpaceDE w:val="0"/>
        <w:autoSpaceDN w:val="0"/>
        <w:spacing w:line="560" w:lineRule="exact"/>
        <w:ind w:firstLine="640" w:firstLineChars="200"/>
        <w:rPr>
          <w:rFonts w:ascii="仿宋_GB2312" w:eastAsia="仿宋_GB2312" w:cs="宋体"/>
          <w:bCs/>
          <w:kern w:val="0"/>
          <w:sz w:val="32"/>
          <w:szCs w:val="32"/>
          <w:lang w:val="zh-CN"/>
        </w:rPr>
      </w:pPr>
      <w:r>
        <w:rPr>
          <w:rFonts w:hint="eastAsia" w:ascii="仿宋_GB2312" w:hAnsi="仿宋" w:eastAsia="仿宋_GB2312"/>
          <w:bCs/>
          <w:sz w:val="32"/>
          <w:szCs w:val="32"/>
          <w:lang w:val="zh-CN"/>
        </w:rPr>
        <w:t>3.持续深化平安港口建设。</w:t>
      </w:r>
      <w:r>
        <w:rPr>
          <w:rFonts w:hint="eastAsia" w:ascii="仿宋_GB2312" w:eastAsia="仿宋_GB2312" w:cs="宋体"/>
          <w:bCs/>
          <w:kern w:val="0"/>
          <w:sz w:val="32"/>
          <w:szCs w:val="32"/>
          <w:lang w:val="zh-CN"/>
        </w:rPr>
        <w:t>加强安全设施建设维护，建立完善安全设施检测和日常管控制度，提高设施设备安全可靠性。提升客运码头安检查危能力，加强港口客运站、危险货物堆场等区域风险联防联控。推进建立港口危险货物监管平台，实现重要设施设备实时监测、智能感知和风险预警。完善广州港三防减灾体系，提升抢险救灾处置能力。着力提升本质安全水平</w:t>
      </w:r>
      <w:r>
        <w:rPr>
          <w:rFonts w:hint="eastAsia" w:ascii="楷体" w:hAnsi="楷体" w:eastAsia="楷体"/>
          <w:sz w:val="32"/>
          <w:szCs w:val="32"/>
        </w:rPr>
        <w:t>（市港务局牵头，市应急管理局、广州海事局、广州港集团配合）</w:t>
      </w:r>
      <w:r>
        <w:rPr>
          <w:rFonts w:hint="eastAsia" w:ascii="仿宋_GB2312" w:eastAsia="仿宋_GB2312" w:cs="宋体"/>
          <w:bCs/>
          <w:kern w:val="0"/>
          <w:sz w:val="32"/>
          <w:szCs w:val="32"/>
          <w:lang w:val="zh-CN"/>
        </w:rPr>
        <w:t>。</w:t>
      </w:r>
    </w:p>
    <w:p w14:paraId="6E0263F2">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（八）深化港口交流合作。</w:t>
      </w:r>
    </w:p>
    <w:p w14:paraId="21C3251C">
      <w:pPr>
        <w:autoSpaceDE w:val="0"/>
        <w:autoSpaceDN w:val="0"/>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lang w:val="zh-CN"/>
        </w:rPr>
        <w:t>1.进一步深化区域合作。</w:t>
      </w:r>
      <w:r>
        <w:rPr>
          <w:rFonts w:hint="eastAsia" w:ascii="仿宋_GB2312" w:hAnsi="仿宋" w:eastAsia="仿宋_GB2312"/>
          <w:sz w:val="32"/>
          <w:szCs w:val="32"/>
        </w:rPr>
        <w:t>稳步推进港口资源整合，以广州港集团为龙头，完成市属区属国有港口资源整合，加强南沙港区与其他港区联动发展。推进广州港集团与珠海、佛山、韶关、清远、肇庆、揭阳、云浮、东莞、湛江等周边港口企业的合资合作，加快构建“一核一带一区”发展格局</w:t>
      </w:r>
      <w:r>
        <w:rPr>
          <w:rFonts w:hint="eastAsia" w:ascii="楷体" w:hAnsi="楷体" w:eastAsia="楷体"/>
          <w:sz w:val="32"/>
          <w:szCs w:val="32"/>
        </w:rPr>
        <w:t>（广州港集团、市港务局、市国资委牵头，市财政局、黄埔区、番禺区、花都区配合）</w:t>
      </w:r>
      <w:r>
        <w:rPr>
          <w:rFonts w:hint="eastAsia" w:ascii="仿宋_GB2312" w:eastAsia="仿宋_GB2312" w:cs="宋体"/>
          <w:kern w:val="0"/>
          <w:sz w:val="32"/>
          <w:szCs w:val="32"/>
        </w:rPr>
        <w:t>。</w:t>
      </w:r>
      <w:r>
        <w:rPr>
          <w:rFonts w:hint="eastAsia" w:ascii="仿宋_GB2312" w:hAnsi="仿宋" w:eastAsia="仿宋_GB2312"/>
          <w:sz w:val="32"/>
          <w:szCs w:val="32"/>
        </w:rPr>
        <w:t>对接西部陆海新通道建设，开拓广西沿海至广州的班轮航线，实现梧州港、贵港港与广州港在货物贸易、航运物流、中转集拼等方面的合作，争取成为链接泛珠三角和海南自贸港的产业合作中心。加强与香港、深圳及周边城市港口的协同发展，开辟更多国际集装箱航线</w:t>
      </w:r>
      <w:r>
        <w:rPr>
          <w:rFonts w:hint="eastAsia" w:ascii="楷体" w:hAnsi="楷体" w:eastAsia="楷体"/>
          <w:sz w:val="32"/>
          <w:szCs w:val="32"/>
        </w:rPr>
        <w:t>（广州港集团牵头，市港务局、市商务局配合）</w:t>
      </w:r>
      <w:r>
        <w:rPr>
          <w:rFonts w:hint="eastAsia" w:ascii="仿宋_GB2312" w:hAnsi="仿宋" w:eastAsia="仿宋_GB2312"/>
          <w:sz w:val="32"/>
          <w:szCs w:val="32"/>
        </w:rPr>
        <w:t>。深化与港澳合作，推动南沙建设内地与港澳规则相互衔接示范基地</w:t>
      </w:r>
      <w:r>
        <w:rPr>
          <w:rFonts w:hint="eastAsia" w:ascii="楷体" w:hAnsi="楷体" w:eastAsia="楷体"/>
          <w:sz w:val="32"/>
          <w:szCs w:val="32"/>
        </w:rPr>
        <w:t>（南沙区政府牵头，市发展改革委、市港务局、市商务局、广州港集团配合）</w:t>
      </w:r>
      <w:r>
        <w:rPr>
          <w:rFonts w:hint="eastAsia" w:ascii="仿宋_GB2312" w:hAnsi="仿宋" w:eastAsia="仿宋_GB2312"/>
          <w:sz w:val="32"/>
          <w:szCs w:val="32"/>
        </w:rPr>
        <w:t>。支持深圳推进综合改革试点，共同推进粤港澳大湾区港口、航道等基础设施建设，完善航运物流网络。强化“四统一”管理，以更高质量一体化为导向，推动航道、锚地共建共享。完善干支联动、江海互动的发展格局，共建粤港澳大湾区世界级港口群</w:t>
      </w:r>
      <w:r>
        <w:rPr>
          <w:rFonts w:hint="eastAsia" w:ascii="楷体" w:hAnsi="楷体" w:eastAsia="楷体"/>
          <w:sz w:val="32"/>
          <w:szCs w:val="32"/>
        </w:rPr>
        <w:t>（市港务局牵头，南沙区政府、广州港集团</w:t>
      </w:r>
      <w:r>
        <w:rPr>
          <w:rFonts w:hint="eastAsia" w:ascii="楷体" w:hAnsi="楷体" w:eastAsia="楷体" w:cs="新宋体"/>
          <w:sz w:val="32"/>
          <w:szCs w:val="32"/>
        </w:rPr>
        <w:t>、广州海关</w:t>
      </w:r>
      <w:r>
        <w:rPr>
          <w:rFonts w:hint="eastAsia" w:ascii="楷体" w:hAnsi="楷体" w:eastAsia="楷体"/>
          <w:sz w:val="32"/>
          <w:szCs w:val="32"/>
        </w:rPr>
        <w:t>配合）</w:t>
      </w:r>
      <w:r>
        <w:rPr>
          <w:rFonts w:hint="eastAsia" w:ascii="仿宋_GB2312" w:hAnsi="仿宋" w:eastAsia="仿宋_GB2312"/>
          <w:sz w:val="32"/>
          <w:szCs w:val="32"/>
        </w:rPr>
        <w:t>。</w:t>
      </w:r>
      <w:r>
        <w:rPr>
          <w:rFonts w:hint="eastAsia" w:ascii="楷体" w:hAnsi="楷体" w:eastAsia="楷体"/>
          <w:sz w:val="32"/>
          <w:szCs w:val="32"/>
        </w:rPr>
        <w:t xml:space="preserve">          </w:t>
      </w:r>
      <w:r>
        <w:rPr>
          <w:rFonts w:hint="eastAsia" w:ascii="仿宋_GB2312" w:hAnsi="仿宋" w:eastAsia="仿宋_GB2312"/>
          <w:sz w:val="32"/>
          <w:szCs w:val="32"/>
        </w:rPr>
        <w:t xml:space="preserve">         </w:t>
      </w:r>
    </w:p>
    <w:p w14:paraId="1F7D44DE">
      <w:pPr>
        <w:autoSpaceDE w:val="0"/>
        <w:autoSpaceDN w:val="0"/>
        <w:adjustRightInd w:val="0"/>
        <w:spacing w:line="560" w:lineRule="exact"/>
        <w:ind w:firstLine="627" w:firstLineChars="196"/>
        <w:jc w:val="left"/>
        <w:rPr>
          <w:rFonts w:ascii="楷体" w:hAnsi="楷体" w:eastAsia="楷体"/>
          <w:sz w:val="32"/>
          <w:szCs w:val="32"/>
        </w:rPr>
      </w:pPr>
      <w:r>
        <w:rPr>
          <w:rFonts w:hint="eastAsia" w:ascii="仿宋_GB2312" w:hAnsi="仿宋" w:eastAsia="仿宋_GB2312"/>
          <w:bCs/>
          <w:sz w:val="32"/>
          <w:szCs w:val="32"/>
          <w:lang w:val="zh-CN"/>
        </w:rPr>
        <w:t>2.提升国际合作和竞争优势。</w:t>
      </w:r>
      <w:r>
        <w:rPr>
          <w:rFonts w:hint="eastAsia" w:ascii="仿宋_GB2312" w:hAnsi="仿宋" w:eastAsia="仿宋_GB2312"/>
          <w:sz w:val="32"/>
          <w:szCs w:val="32"/>
        </w:rPr>
        <w:t>进一步深化广州港与国际友好港口合作发展，发挥粤港澳大湾区重要门户和“一带一路”重要节点的作用。积极开展海外市场推介，完善海外营销网络，加强境外货源组织。鼓励龙头港航企业“走出去”，积极参与东南亚港口投资、建设、运营，输出港口运营管理经验和模式，打造世界一流全球码头建设和运营商、综合服务商。提升国际合作深度与广度，形成多层次合作渠道。积极组织召开国际航运相关论坛和研讨活动，吸引世界著名航运组织或相关机构在穗设立分支机构，开展重大国际会议和国际活动</w:t>
      </w:r>
      <w:r>
        <w:rPr>
          <w:rFonts w:hint="eastAsia" w:ascii="楷体" w:hAnsi="楷体" w:eastAsia="楷体"/>
          <w:sz w:val="32"/>
          <w:szCs w:val="32"/>
        </w:rPr>
        <w:t>（市港务局、广州港集团牵头，市商务局、市委外办配合）</w:t>
      </w:r>
      <w:r>
        <w:rPr>
          <w:rFonts w:hint="eastAsia" w:ascii="仿宋_GB2312" w:hAnsi="仿宋" w:eastAsia="仿宋_GB2312"/>
          <w:sz w:val="32"/>
          <w:szCs w:val="32"/>
        </w:rPr>
        <w:t>。</w:t>
      </w:r>
    </w:p>
    <w:p w14:paraId="59E4B7BE">
      <w:pPr>
        <w:spacing w:line="560" w:lineRule="exact"/>
        <w:ind w:firstLine="669" w:firstLineChars="197"/>
        <w:rPr>
          <w:rFonts w:ascii="黑体" w:hAnsi="黑体" w:eastAsia="黑体"/>
          <w:bCs/>
          <w:spacing w:val="10"/>
          <w:sz w:val="32"/>
          <w:szCs w:val="32"/>
        </w:rPr>
      </w:pPr>
      <w:r>
        <w:rPr>
          <w:rFonts w:hint="eastAsia" w:ascii="黑体" w:hAnsi="黑体" w:eastAsia="黑体"/>
          <w:bCs/>
          <w:spacing w:val="10"/>
          <w:sz w:val="32"/>
          <w:szCs w:val="32"/>
        </w:rPr>
        <w:t xml:space="preserve">四、保障措施         </w:t>
      </w:r>
    </w:p>
    <w:p w14:paraId="36715F0A">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（一）加强组织领导。</w:t>
      </w:r>
    </w:p>
    <w:p w14:paraId="67F88E15">
      <w:pPr>
        <w:spacing w:line="560" w:lineRule="exact"/>
        <w:ind w:firstLine="640" w:firstLineChars="200"/>
        <w:rPr>
          <w:rFonts w:ascii="楷体" w:hAnsi="楷体" w:eastAsia="楷体"/>
          <w:sz w:val="32"/>
          <w:szCs w:val="32"/>
        </w:rPr>
      </w:pPr>
      <w:r>
        <w:rPr>
          <w:rFonts w:hint="eastAsia" w:ascii="仿宋_GB2312" w:hAnsi="仿宋" w:eastAsia="仿宋_GB2312"/>
          <w:color w:val="000000" w:themeColor="text1"/>
          <w:sz w:val="32"/>
          <w:szCs w:val="32"/>
          <w14:textFill>
            <w14:solidFill>
              <w14:schemeClr w14:val="tx1"/>
            </w14:solidFill>
          </w14:textFill>
        </w:rPr>
        <w:t>在市层面加强对广州国际航运枢纽建设工作的组织领导。</w:t>
      </w:r>
      <w:r>
        <w:rPr>
          <w:rFonts w:hint="eastAsia" w:ascii="仿宋_GB2312" w:hAnsi="仿宋" w:eastAsia="仿宋_GB2312"/>
          <w:sz w:val="32"/>
          <w:szCs w:val="32"/>
        </w:rPr>
        <w:t>各部门、各区结合实际制定有利于航运资源有效配置、集约利用、协同发展的引导扶持政策，积极推动和落实广州国际航运枢纽建设任务</w:t>
      </w:r>
      <w:r>
        <w:rPr>
          <w:rFonts w:hint="eastAsia" w:ascii="楷体" w:hAnsi="楷体" w:eastAsia="楷体"/>
          <w:sz w:val="32"/>
          <w:szCs w:val="32"/>
        </w:rPr>
        <w:t>（市港务局牵头，各有关单位、区政府配合）</w:t>
      </w:r>
      <w:r>
        <w:rPr>
          <w:rFonts w:hint="eastAsia" w:ascii="仿宋_GB2312" w:hAnsi="仿宋" w:eastAsia="仿宋_GB2312"/>
          <w:sz w:val="32"/>
          <w:szCs w:val="32"/>
        </w:rPr>
        <w:t>。</w:t>
      </w:r>
    </w:p>
    <w:p w14:paraId="543775A8">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（二）优化发展环境。</w:t>
      </w:r>
    </w:p>
    <w:p w14:paraId="02551A8F">
      <w:pPr>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实施</w:t>
      </w:r>
      <w:r>
        <w:rPr>
          <w:rFonts w:hint="eastAsia" w:ascii="仿宋_GB2312" w:hAnsi="仿宋" w:eastAsia="仿宋_GB2312"/>
          <w:sz w:val="32"/>
          <w:szCs w:val="32"/>
        </w:rPr>
        <w:t>《广州市优化营商环境条例》，建立与国际接轨的投融资、贸易、仲裁等营商规则体系。研究探索与国际接轨的航运税收和金融等政策。落实国家财税管理和减税降费各项部署，减轻企业负担。持续深化“放管服”改革，加快转变政府职能，深化“一件事”主题套餐、“一门式”政策兑现、“一站式”公共服务等改革。加强数据共享，完善事中、事后监管，推进建设市场监管体系和社会信用体系</w:t>
      </w:r>
      <w:r>
        <w:rPr>
          <w:rFonts w:hint="eastAsia" w:ascii="楷体" w:hAnsi="楷体" w:eastAsia="楷体"/>
          <w:sz w:val="32"/>
          <w:szCs w:val="32"/>
        </w:rPr>
        <w:t>（市港务局、市商务局、广州市税务局、市财政局、市市场监管局、市政务服务数据管理局、市发展改革委按职责牵头推进）</w:t>
      </w:r>
      <w:r>
        <w:rPr>
          <w:rFonts w:hint="eastAsia" w:ascii="仿宋_GB2312" w:hAnsi="仿宋" w:eastAsia="仿宋_GB2312"/>
          <w:sz w:val="32"/>
          <w:szCs w:val="32"/>
        </w:rPr>
        <w:t>。</w:t>
      </w:r>
    </w:p>
    <w:p w14:paraId="4ECCECAF">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（三）规划建设保障。</w:t>
      </w:r>
    </w:p>
    <w:p w14:paraId="48F502FF">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战略规划引领，推进编制港航业“十四五”发展规划和国际航运枢纽发展战略，完成南沙港区和黄埔港区规划调整，促进国土空间规划、产业规划、交通规划、港航规划衔接，保障港航业建设用地和用海需求。珍惜利用港口岸线资源，涉及港口规划岸线和港口航道设施的规划建设事项，市有关部门和相关区应征求市港航行政管理部门意见。集约使用港口用地，保证港区预留用地及疏港铁路、公路、临港物流园区和港口服务保障设施用地。南沙新区尤其是龙穴岛的岸线、土地、海域重点保障港口、航运和物流园区建设。</w:t>
      </w:r>
      <w:r>
        <w:rPr>
          <w:rFonts w:hint="eastAsia" w:ascii="楷体" w:hAnsi="楷体" w:eastAsia="楷体"/>
          <w:sz w:val="32"/>
          <w:szCs w:val="32"/>
        </w:rPr>
        <w:t>（市港务局、市规划和自然资源局牵头，市发展改革委、相关区政府配合）</w:t>
      </w:r>
    </w:p>
    <w:p w14:paraId="4D47F47E">
      <w:pPr>
        <w:spacing w:line="560" w:lineRule="exact"/>
        <w:ind w:firstLine="680" w:firstLineChars="200"/>
        <w:rPr>
          <w:rFonts w:ascii="楷体" w:hAnsi="楷体" w:eastAsia="楷体"/>
          <w:bCs/>
          <w:spacing w:val="10"/>
          <w:sz w:val="32"/>
          <w:szCs w:val="32"/>
        </w:rPr>
      </w:pPr>
      <w:r>
        <w:rPr>
          <w:rFonts w:hint="eastAsia" w:ascii="楷体" w:hAnsi="楷体" w:eastAsia="楷体"/>
          <w:bCs/>
          <w:spacing w:val="10"/>
          <w:sz w:val="32"/>
          <w:szCs w:val="32"/>
        </w:rPr>
        <w:t>（四）资金保障。</w:t>
      </w:r>
    </w:p>
    <w:p w14:paraId="79801294">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安排建设广州国际航运枢纽扶持资金。</w:t>
      </w:r>
      <w:r>
        <w:rPr>
          <w:rFonts w:hint="eastAsia" w:ascii="仿宋_GB2312" w:hAnsi="仿宋" w:eastAsia="仿宋_GB2312"/>
          <w:sz w:val="32"/>
          <w:szCs w:val="32"/>
        </w:rPr>
        <w:t>重点安排资金保障集装箱班轮航线增加、</w:t>
      </w:r>
      <w:r>
        <w:rPr>
          <w:rFonts w:hint="eastAsia" w:ascii="仿宋_GB2312" w:eastAsia="仿宋_GB2312"/>
          <w:sz w:val="32"/>
          <w:szCs w:val="32"/>
        </w:rPr>
        <w:t>集装箱货源组织、</w:t>
      </w:r>
      <w:r>
        <w:rPr>
          <w:rFonts w:hint="eastAsia" w:ascii="仿宋_GB2312" w:hAnsi="仿宋" w:eastAsia="仿宋_GB2312"/>
          <w:sz w:val="32"/>
          <w:szCs w:val="32"/>
        </w:rPr>
        <w:t>驳船航线开通、多式联运、滚装商品汽车江海联运、</w:t>
      </w:r>
      <w:r>
        <w:rPr>
          <w:rFonts w:hint="eastAsia" w:ascii="仿宋_GB2312" w:hAnsi="仿宋" w:eastAsia="仿宋_GB2312"/>
          <w:color w:val="000000"/>
          <w:sz w:val="32"/>
          <w:szCs w:val="32"/>
        </w:rPr>
        <w:t>内陆港建设、</w:t>
      </w:r>
      <w:r>
        <w:rPr>
          <w:rFonts w:hint="eastAsia" w:ascii="仿宋_GB2312" w:hAnsi="仿宋" w:eastAsia="仿宋_GB2312"/>
          <w:sz w:val="32"/>
          <w:szCs w:val="32"/>
        </w:rPr>
        <w:t>海外办事处设立、</w:t>
      </w:r>
      <w:r>
        <w:rPr>
          <w:rFonts w:hint="eastAsia" w:ascii="仿宋_GB2312" w:hAnsi="仿宋" w:eastAsia="仿宋_GB2312"/>
          <w:color w:val="000000" w:themeColor="text1"/>
          <w:sz w:val="32"/>
          <w:szCs w:val="32"/>
          <w14:textFill>
            <w14:solidFill>
              <w14:schemeClr w14:val="tx1"/>
            </w14:solidFill>
          </w14:textFill>
        </w:rPr>
        <w:t>邮轮发展、航运服务业</w:t>
      </w:r>
      <w:r>
        <w:rPr>
          <w:rFonts w:hint="eastAsia" w:ascii="仿宋_GB2312" w:hAnsi="仿宋" w:eastAsia="仿宋_GB2312"/>
          <w:color w:val="000000" w:themeColor="text1"/>
          <w:sz w:val="32"/>
          <w:szCs w:val="32"/>
          <w:lang w:eastAsia="zh-CN"/>
          <w14:textFill>
            <w14:solidFill>
              <w14:schemeClr w14:val="tx1"/>
            </w14:solidFill>
          </w14:textFill>
        </w:rPr>
        <w:t>发展</w:t>
      </w:r>
      <w:r>
        <w:rPr>
          <w:rFonts w:hint="eastAsia" w:ascii="仿宋_GB2312" w:hAnsi="仿宋" w:eastAsia="仿宋_GB2312"/>
          <w:color w:val="000000" w:themeColor="text1"/>
          <w:sz w:val="32"/>
          <w:szCs w:val="32"/>
          <w14:textFill>
            <w14:solidFill>
              <w14:schemeClr w14:val="tx1"/>
            </w14:solidFill>
          </w14:textFill>
        </w:rPr>
        <w:t>、对外合作交流等项目实施。</w:t>
      </w:r>
    </w:p>
    <w:p w14:paraId="4B27EBD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安排绿色港航建设奖励资金。重点安排清洁能源应用、绿色低碳技术改造等绿色港航建设项目。</w:t>
      </w:r>
    </w:p>
    <w:p w14:paraId="60528BC4">
      <w:pPr>
        <w:spacing w:line="560" w:lineRule="exact"/>
        <w:ind w:firstLine="640" w:firstLineChars="200"/>
        <w:rPr>
          <w:rFonts w:ascii="楷体" w:hAnsi="楷体" w:eastAsia="楷体"/>
          <w:sz w:val="32"/>
          <w:szCs w:val="32"/>
        </w:rPr>
      </w:pPr>
      <w:r>
        <w:rPr>
          <w:rFonts w:hint="eastAsia" w:ascii="仿宋_GB2312" w:hAnsi="仿宋" w:eastAsia="仿宋_GB2312"/>
          <w:sz w:val="32"/>
          <w:szCs w:val="32"/>
        </w:rPr>
        <w:t>安排航运人才发展资金。用于海上丝绸之路沿线港口城市港航人员培训和航运创新研究智库建设</w:t>
      </w:r>
      <w:r>
        <w:rPr>
          <w:rFonts w:hint="eastAsia" w:ascii="楷体" w:hAnsi="楷体" w:eastAsia="楷体"/>
          <w:sz w:val="32"/>
          <w:szCs w:val="32"/>
        </w:rPr>
        <w:t>（市财政局、市港务局牵头）</w:t>
      </w:r>
      <w:r>
        <w:rPr>
          <w:rFonts w:hint="eastAsia" w:ascii="仿宋_GB2312" w:hAnsi="仿宋" w:eastAsia="仿宋_GB2312"/>
          <w:sz w:val="32"/>
          <w:szCs w:val="32"/>
        </w:rPr>
        <w:t>。</w:t>
      </w:r>
    </w:p>
    <w:p w14:paraId="76B8D85D">
      <w:pPr>
        <w:spacing w:line="560" w:lineRule="exact"/>
        <w:ind w:firstLine="669" w:firstLineChars="197"/>
        <w:rPr>
          <w:rFonts w:ascii="楷体" w:hAnsi="楷体" w:eastAsia="楷体"/>
          <w:bCs/>
          <w:spacing w:val="10"/>
          <w:sz w:val="32"/>
          <w:szCs w:val="32"/>
        </w:rPr>
      </w:pPr>
      <w:r>
        <w:rPr>
          <w:rFonts w:hint="eastAsia" w:ascii="楷体" w:hAnsi="楷体" w:eastAsia="楷体"/>
          <w:bCs/>
          <w:spacing w:val="10"/>
          <w:sz w:val="32"/>
          <w:szCs w:val="32"/>
        </w:rPr>
        <w:t xml:space="preserve">（五）人才保障。                     </w:t>
      </w:r>
    </w:p>
    <w:p w14:paraId="5BE03EDF">
      <w:pPr>
        <w:spacing w:line="560" w:lineRule="exact"/>
        <w:ind w:firstLine="640" w:firstLineChars="200"/>
        <w:rPr>
          <w:rFonts w:ascii="楷体" w:hAnsi="楷体" w:eastAsia="楷体"/>
          <w:sz w:val="32"/>
          <w:szCs w:val="32"/>
        </w:rPr>
      </w:pPr>
      <w:r>
        <w:rPr>
          <w:rFonts w:hint="eastAsia" w:ascii="仿宋_GB2312" w:hAnsi="仿宋" w:eastAsia="仿宋_GB2312"/>
          <w:sz w:val="32"/>
          <w:szCs w:val="32"/>
        </w:rPr>
        <w:t>实施有竞争力的人才政策，激发人才第一资源活力，吸引航运高端人才集聚广州，加强高端航运人才培养。落实大湾区个人所得税优惠政策，提供教育医疗、住房保障等组合式服务。创新机制体制，支持航运企业、机构通过市场机制从国内外引进各类优秀航运人才</w:t>
      </w:r>
      <w:r>
        <w:rPr>
          <w:rFonts w:hint="eastAsia" w:ascii="楷体" w:hAnsi="楷体" w:eastAsia="楷体"/>
          <w:sz w:val="32"/>
          <w:szCs w:val="32"/>
        </w:rPr>
        <w:t>（市港务局牵头，市人力资源社会保障局、相关区政府配合）</w:t>
      </w:r>
      <w:r>
        <w:rPr>
          <w:rFonts w:hint="eastAsia" w:ascii="仿宋_GB2312" w:hAnsi="仿宋" w:eastAsia="仿宋_GB2312"/>
          <w:sz w:val="32"/>
          <w:szCs w:val="32"/>
        </w:rPr>
        <w:t>。对接广州国际航运枢纽建设，提供专业人才支撑。强化专业特色，打造品牌专业，培养符合发展需要的高素质、专业化、复合型航运人才。建设邮轮人才培养基地,建立和完善邮轮人才教育培训制度</w:t>
      </w:r>
      <w:r>
        <w:rPr>
          <w:rFonts w:hint="eastAsia" w:ascii="楷体" w:hAnsi="楷体" w:eastAsia="楷体"/>
          <w:sz w:val="32"/>
          <w:szCs w:val="32"/>
        </w:rPr>
        <w:t>（广州航海学院牵头，市港务局、市商务局配合）</w:t>
      </w:r>
      <w:r>
        <w:rPr>
          <w:rFonts w:hint="eastAsia" w:ascii="仿宋_GB2312" w:hAnsi="仿宋" w:eastAsia="仿宋_GB2312"/>
          <w:sz w:val="32"/>
          <w:szCs w:val="32"/>
        </w:rPr>
        <w:t>。</w:t>
      </w:r>
    </w:p>
    <w:p w14:paraId="34EE34A4">
      <w:pPr>
        <w:spacing w:line="560" w:lineRule="exact"/>
        <w:ind w:firstLine="640" w:firstLineChars="200"/>
        <w:rPr>
          <w:rFonts w:ascii="仿宋" w:hAnsi="仿宋" w:eastAsia="仿宋"/>
          <w:sz w:val="32"/>
          <w:szCs w:val="32"/>
        </w:rPr>
      </w:pPr>
    </w:p>
    <w:p w14:paraId="2EC7D723">
      <w:pPr>
        <w:adjustRightInd w:val="0"/>
        <w:snapToGrid w:val="0"/>
        <w:spacing w:line="580" w:lineRule="exact"/>
        <w:rPr>
          <w:rFonts w:ascii="方正小标宋_GBK" w:hAnsi="宋体" w:eastAsia="方正小标宋_GBK"/>
          <w:spacing w:val="12"/>
          <w:sz w:val="44"/>
          <w:szCs w:val="44"/>
        </w:rPr>
      </w:pPr>
      <w:r>
        <w:rPr>
          <w:rFonts w:hint="eastAsia" w:ascii="仿宋" w:hAnsi="仿宋" w:eastAsia="仿宋"/>
          <w:sz w:val="32"/>
          <w:szCs w:val="32"/>
        </w:rPr>
        <w:t xml:space="preserve">    附：</w:t>
      </w:r>
      <w:r>
        <w:rPr>
          <w:rFonts w:hint="eastAsia" w:ascii="仿宋_GB2312" w:hAnsi="仿宋" w:eastAsia="仿宋_GB2312"/>
          <w:sz w:val="32"/>
          <w:szCs w:val="32"/>
        </w:rPr>
        <w:t>港口基础设施建设项目表（2021-2023年）</w:t>
      </w:r>
    </w:p>
    <w:p w14:paraId="36E16818">
      <w:pPr>
        <w:spacing w:line="580" w:lineRule="exact"/>
        <w:rPr>
          <w:rFonts w:ascii="仿宋" w:hAnsi="仿宋" w:eastAsia="仿宋"/>
          <w:sz w:val="32"/>
          <w:szCs w:val="32"/>
        </w:rPr>
        <w:sectPr>
          <w:footerReference r:id="rId3" w:type="default"/>
          <w:pgSz w:w="11906" w:h="16838"/>
          <w:pgMar w:top="1440" w:right="1797" w:bottom="1440" w:left="1797" w:header="851" w:footer="992" w:gutter="0"/>
          <w:pgNumType w:chapSep="enDash"/>
          <w:cols w:space="720" w:num="1"/>
          <w:docGrid w:type="lines" w:linePitch="312" w:charSpace="0"/>
        </w:sectPr>
      </w:pPr>
    </w:p>
    <w:p w14:paraId="41149980">
      <w:pPr>
        <w:adjustRightInd w:val="0"/>
        <w:snapToGrid w:val="0"/>
        <w:spacing w:line="580" w:lineRule="exact"/>
        <w:jc w:val="center"/>
        <w:rPr>
          <w:rFonts w:ascii="方正小标宋_GBK" w:hAnsi="宋体" w:eastAsia="方正小标宋_GBK"/>
          <w:color w:val="auto"/>
          <w:spacing w:val="12"/>
          <w:sz w:val="44"/>
          <w:szCs w:val="44"/>
        </w:rPr>
      </w:pPr>
      <w:r>
        <w:rPr>
          <w:rFonts w:hint="eastAsia" w:ascii="方正小标宋_GBK" w:hAnsi="宋体" w:eastAsia="方正小标宋_GBK"/>
          <w:color w:val="auto"/>
          <w:spacing w:val="12"/>
          <w:sz w:val="44"/>
          <w:szCs w:val="44"/>
        </w:rPr>
        <w:t>港口基础设施建设项目表（2021-2023年）</w:t>
      </w:r>
    </w:p>
    <w:tbl>
      <w:tblPr>
        <w:tblStyle w:val="6"/>
        <w:tblW w:w="12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698"/>
        <w:gridCol w:w="5950"/>
        <w:gridCol w:w="2577"/>
      </w:tblGrid>
      <w:tr w14:paraId="530B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5E9A02AF">
            <w:pPr>
              <w:jc w:val="center"/>
              <w:rPr>
                <w:rFonts w:ascii="宋体" w:hAnsi="宋体"/>
                <w:kern w:val="0"/>
                <w:szCs w:val="21"/>
              </w:rPr>
            </w:pPr>
            <w:r>
              <w:rPr>
                <w:rFonts w:hint="eastAsia" w:ascii="宋体" w:hAnsi="宋体"/>
                <w:kern w:val="0"/>
                <w:szCs w:val="21"/>
              </w:rPr>
              <w:t>序号</w:t>
            </w:r>
          </w:p>
        </w:tc>
        <w:tc>
          <w:tcPr>
            <w:tcW w:w="2698" w:type="dxa"/>
            <w:tcBorders>
              <w:top w:val="single" w:color="auto" w:sz="4" w:space="0"/>
              <w:left w:val="single" w:color="auto" w:sz="4" w:space="0"/>
              <w:bottom w:val="single" w:color="auto" w:sz="4" w:space="0"/>
              <w:right w:val="single" w:color="auto" w:sz="4" w:space="0"/>
            </w:tcBorders>
            <w:vAlign w:val="center"/>
          </w:tcPr>
          <w:p w14:paraId="1EDA0F6E">
            <w:pPr>
              <w:jc w:val="center"/>
              <w:rPr>
                <w:rFonts w:ascii="宋体" w:hAnsi="宋体"/>
                <w:kern w:val="0"/>
                <w:szCs w:val="21"/>
              </w:rPr>
            </w:pPr>
            <w:r>
              <w:rPr>
                <w:rFonts w:hint="eastAsia" w:ascii="宋体" w:hAnsi="宋体"/>
                <w:kern w:val="0"/>
                <w:szCs w:val="21"/>
              </w:rPr>
              <w:t>项目名称</w:t>
            </w:r>
          </w:p>
        </w:tc>
        <w:tc>
          <w:tcPr>
            <w:tcW w:w="5950" w:type="dxa"/>
            <w:tcBorders>
              <w:top w:val="single" w:color="auto" w:sz="4" w:space="0"/>
              <w:left w:val="single" w:color="auto" w:sz="4" w:space="0"/>
              <w:bottom w:val="single" w:color="auto" w:sz="4" w:space="0"/>
              <w:right w:val="single" w:color="auto" w:sz="4" w:space="0"/>
            </w:tcBorders>
            <w:vAlign w:val="center"/>
          </w:tcPr>
          <w:p w14:paraId="7ACE3870">
            <w:pPr>
              <w:jc w:val="center"/>
              <w:rPr>
                <w:rFonts w:ascii="宋体" w:hAnsi="宋体"/>
                <w:kern w:val="0"/>
                <w:szCs w:val="21"/>
              </w:rPr>
            </w:pPr>
            <w:r>
              <w:rPr>
                <w:rFonts w:hint="eastAsia" w:ascii="宋体" w:hAnsi="宋体"/>
                <w:kern w:val="0"/>
                <w:szCs w:val="21"/>
              </w:rPr>
              <w:t>项目内容</w:t>
            </w:r>
          </w:p>
        </w:tc>
        <w:tc>
          <w:tcPr>
            <w:tcW w:w="2577" w:type="dxa"/>
            <w:tcBorders>
              <w:top w:val="single" w:color="auto" w:sz="4" w:space="0"/>
              <w:left w:val="single" w:color="auto" w:sz="4" w:space="0"/>
              <w:bottom w:val="single" w:color="auto" w:sz="4" w:space="0"/>
              <w:right w:val="single" w:color="auto" w:sz="4" w:space="0"/>
            </w:tcBorders>
            <w:vAlign w:val="center"/>
          </w:tcPr>
          <w:p w14:paraId="34F5C904">
            <w:pPr>
              <w:jc w:val="center"/>
              <w:rPr>
                <w:rFonts w:ascii="宋体" w:hAnsi="宋体"/>
                <w:kern w:val="0"/>
                <w:szCs w:val="21"/>
              </w:rPr>
            </w:pPr>
            <w:r>
              <w:rPr>
                <w:rFonts w:hint="eastAsia" w:ascii="宋体" w:hAnsi="宋体"/>
                <w:kern w:val="0"/>
                <w:szCs w:val="21"/>
              </w:rPr>
              <w:t>责任单位</w:t>
            </w:r>
          </w:p>
        </w:tc>
      </w:tr>
      <w:tr w14:paraId="0044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15C5064E">
            <w:pPr>
              <w:jc w:val="center"/>
              <w:rPr>
                <w:rFonts w:ascii="宋体" w:hAnsi="宋体"/>
                <w:kern w:val="0"/>
                <w:szCs w:val="21"/>
              </w:rPr>
            </w:pPr>
            <w:r>
              <w:rPr>
                <w:rFonts w:hint="eastAsia" w:ascii="宋体" w:hAnsi="宋体"/>
                <w:kern w:val="0"/>
                <w:szCs w:val="21"/>
              </w:rPr>
              <w:t>1</w:t>
            </w:r>
          </w:p>
        </w:tc>
        <w:tc>
          <w:tcPr>
            <w:tcW w:w="2698" w:type="dxa"/>
            <w:tcBorders>
              <w:top w:val="single" w:color="auto" w:sz="4" w:space="0"/>
              <w:left w:val="single" w:color="auto" w:sz="4" w:space="0"/>
              <w:bottom w:val="single" w:color="auto" w:sz="4" w:space="0"/>
              <w:right w:val="single" w:color="auto" w:sz="4" w:space="0"/>
            </w:tcBorders>
            <w:vAlign w:val="center"/>
          </w:tcPr>
          <w:p w14:paraId="13789F2D">
            <w:pPr>
              <w:jc w:val="left"/>
              <w:rPr>
                <w:rFonts w:ascii="宋体" w:hAnsi="宋体"/>
                <w:kern w:val="0"/>
                <w:szCs w:val="21"/>
              </w:rPr>
            </w:pPr>
            <w:r>
              <w:rPr>
                <w:rFonts w:hint="eastAsia" w:ascii="宋体" w:hAnsi="宋体"/>
                <w:kern w:val="0"/>
                <w:szCs w:val="21"/>
              </w:rPr>
              <w:t>广州港环大虎岛公用航道工程</w:t>
            </w:r>
          </w:p>
        </w:tc>
        <w:tc>
          <w:tcPr>
            <w:tcW w:w="5950" w:type="dxa"/>
            <w:tcBorders>
              <w:top w:val="single" w:color="auto" w:sz="4" w:space="0"/>
              <w:left w:val="single" w:color="auto" w:sz="4" w:space="0"/>
              <w:bottom w:val="single" w:color="auto" w:sz="4" w:space="0"/>
              <w:right w:val="single" w:color="auto" w:sz="4" w:space="0"/>
            </w:tcBorders>
            <w:vAlign w:val="center"/>
          </w:tcPr>
          <w:p w14:paraId="6E6E8427">
            <w:pPr>
              <w:jc w:val="left"/>
              <w:rPr>
                <w:rFonts w:ascii="宋体" w:hAnsi="宋体"/>
                <w:kern w:val="0"/>
                <w:szCs w:val="21"/>
              </w:rPr>
            </w:pPr>
            <w:r>
              <w:rPr>
                <w:rFonts w:hint="eastAsia" w:ascii="宋体" w:hAnsi="宋体"/>
                <w:kern w:val="0"/>
                <w:szCs w:val="21"/>
              </w:rPr>
              <w:t>总长约33.3</w:t>
            </w:r>
            <w:r>
              <w:rPr>
                <w:rFonts w:ascii="宋体" w:hAnsi="宋体"/>
                <w:kern w:val="0"/>
                <w:szCs w:val="21"/>
              </w:rPr>
              <w:t>公里</w:t>
            </w:r>
            <w:r>
              <w:rPr>
                <w:rFonts w:hint="eastAsia" w:ascii="宋体" w:hAnsi="宋体"/>
                <w:kern w:val="0"/>
                <w:szCs w:val="21"/>
              </w:rPr>
              <w:t>，包括南沙作业区至小虎作业区主航道段和环大虎岛西侧公用航道段。南沙作业区至小虎作业区主航道段长约27.2</w:t>
            </w:r>
            <w:r>
              <w:rPr>
                <w:rFonts w:ascii="宋体" w:hAnsi="宋体"/>
                <w:kern w:val="0"/>
                <w:szCs w:val="21"/>
              </w:rPr>
              <w:t>公里</w:t>
            </w:r>
            <w:r>
              <w:rPr>
                <w:rFonts w:hint="eastAsia" w:ascii="宋体" w:hAnsi="宋体"/>
                <w:kern w:val="0"/>
                <w:szCs w:val="21"/>
              </w:rPr>
              <w:t>，按8万吨级油船及7万吨级散货船单向乘潮通航、舱容14.7万立方米液化天然气船单向全潮通航的标准建设（</w:t>
            </w:r>
            <w:r>
              <w:rPr>
                <w:rFonts w:ascii="宋体" w:hAnsi="宋体"/>
                <w:kern w:val="0"/>
                <w:szCs w:val="21"/>
              </w:rPr>
              <w:t>川鼻航道</w:t>
            </w:r>
            <w:r>
              <w:rPr>
                <w:rFonts w:hint="eastAsia" w:ascii="宋体" w:hAnsi="宋体"/>
                <w:kern w:val="0"/>
                <w:szCs w:val="21"/>
              </w:rPr>
              <w:t>设置为会遇段，总长</w:t>
            </w:r>
            <w:r>
              <w:rPr>
                <w:rFonts w:ascii="宋体" w:hAnsi="宋体"/>
                <w:kern w:val="0"/>
                <w:szCs w:val="21"/>
              </w:rPr>
              <w:t>约</w:t>
            </w:r>
            <w:r>
              <w:rPr>
                <w:rFonts w:hint="eastAsia" w:ascii="宋体" w:hAnsi="宋体"/>
                <w:kern w:val="0"/>
                <w:szCs w:val="21"/>
              </w:rPr>
              <w:t>12.1</w:t>
            </w:r>
            <w:r>
              <w:rPr>
                <w:rFonts w:ascii="宋体" w:hAnsi="宋体"/>
                <w:kern w:val="0"/>
                <w:szCs w:val="21"/>
              </w:rPr>
              <w:t>公里，</w:t>
            </w:r>
            <w:r>
              <w:rPr>
                <w:rFonts w:hint="eastAsia" w:ascii="宋体" w:hAnsi="宋体"/>
                <w:kern w:val="0"/>
                <w:szCs w:val="21"/>
              </w:rPr>
              <w:t>同时满足5万吨级油船与5万吨级集装箱船会遇全潮通航要求）；环大虎岛西侧公用航道段长约6.1</w:t>
            </w:r>
            <w:r>
              <w:rPr>
                <w:rFonts w:ascii="宋体" w:hAnsi="宋体"/>
                <w:kern w:val="0"/>
                <w:szCs w:val="21"/>
              </w:rPr>
              <w:t>公里</w:t>
            </w:r>
            <w:r>
              <w:rPr>
                <w:rFonts w:hint="eastAsia" w:ascii="宋体" w:hAnsi="宋体"/>
                <w:kern w:val="0"/>
                <w:szCs w:val="21"/>
              </w:rPr>
              <w:t>，按8万吨级油船及7万吨级散货船单向乘潮通航标准建设。</w:t>
            </w:r>
          </w:p>
        </w:tc>
        <w:tc>
          <w:tcPr>
            <w:tcW w:w="2577" w:type="dxa"/>
            <w:tcBorders>
              <w:top w:val="single" w:color="auto" w:sz="4" w:space="0"/>
              <w:left w:val="single" w:color="auto" w:sz="4" w:space="0"/>
              <w:bottom w:val="single" w:color="auto" w:sz="4" w:space="0"/>
              <w:right w:val="single" w:color="auto" w:sz="4" w:space="0"/>
            </w:tcBorders>
            <w:vAlign w:val="center"/>
          </w:tcPr>
          <w:p w14:paraId="199E7B30">
            <w:pPr>
              <w:jc w:val="center"/>
              <w:rPr>
                <w:rFonts w:ascii="宋体" w:hAnsi="宋体"/>
                <w:kern w:val="0"/>
                <w:szCs w:val="21"/>
              </w:rPr>
            </w:pPr>
            <w:r>
              <w:rPr>
                <w:rFonts w:hint="eastAsia" w:ascii="宋体" w:hAnsi="宋体"/>
                <w:kern w:val="0"/>
                <w:szCs w:val="21"/>
              </w:rPr>
              <w:t>广州市港务局</w:t>
            </w:r>
          </w:p>
        </w:tc>
      </w:tr>
      <w:tr w14:paraId="0156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462393B1">
            <w:pPr>
              <w:jc w:val="center"/>
              <w:rPr>
                <w:rFonts w:hint="eastAsia" w:ascii="宋体" w:hAnsi="宋体" w:eastAsia="宋体"/>
                <w:kern w:val="0"/>
                <w:szCs w:val="21"/>
                <w:lang w:eastAsia="zh-CN"/>
              </w:rPr>
            </w:pPr>
            <w:r>
              <w:rPr>
                <w:rFonts w:hint="eastAsia" w:ascii="宋体" w:hAnsi="宋体"/>
                <w:kern w:val="0"/>
                <w:szCs w:val="21"/>
                <w:lang w:val="en-US" w:eastAsia="zh-CN"/>
              </w:rPr>
              <w:t>2</w:t>
            </w:r>
          </w:p>
        </w:tc>
        <w:tc>
          <w:tcPr>
            <w:tcW w:w="2698" w:type="dxa"/>
            <w:tcBorders>
              <w:top w:val="single" w:color="auto" w:sz="4" w:space="0"/>
              <w:left w:val="single" w:color="auto" w:sz="4" w:space="0"/>
              <w:bottom w:val="single" w:color="auto" w:sz="4" w:space="0"/>
              <w:right w:val="single" w:color="auto" w:sz="4" w:space="0"/>
            </w:tcBorders>
            <w:vAlign w:val="center"/>
          </w:tcPr>
          <w:p w14:paraId="6DF5DC41">
            <w:pPr>
              <w:jc w:val="left"/>
              <w:rPr>
                <w:rFonts w:ascii="宋体" w:hAnsi="宋体"/>
                <w:kern w:val="0"/>
                <w:szCs w:val="21"/>
              </w:rPr>
            </w:pPr>
            <w:r>
              <w:rPr>
                <w:rFonts w:hint="eastAsia" w:ascii="宋体" w:hAnsi="宋体"/>
                <w:kern w:val="0"/>
                <w:szCs w:val="21"/>
              </w:rPr>
              <w:t>桂山锚地(18GS)扩建工程</w:t>
            </w:r>
          </w:p>
        </w:tc>
        <w:tc>
          <w:tcPr>
            <w:tcW w:w="5950" w:type="dxa"/>
            <w:tcBorders>
              <w:top w:val="single" w:color="auto" w:sz="4" w:space="0"/>
              <w:left w:val="single" w:color="auto" w:sz="4" w:space="0"/>
              <w:bottom w:val="single" w:color="auto" w:sz="4" w:space="0"/>
              <w:right w:val="single" w:color="auto" w:sz="4" w:space="0"/>
            </w:tcBorders>
            <w:vAlign w:val="center"/>
          </w:tcPr>
          <w:p w14:paraId="0579F808">
            <w:pPr>
              <w:jc w:val="left"/>
              <w:rPr>
                <w:rFonts w:ascii="宋体" w:hAnsi="宋体"/>
                <w:kern w:val="0"/>
                <w:szCs w:val="21"/>
              </w:rPr>
            </w:pPr>
            <w:r>
              <w:rPr>
                <w:rFonts w:ascii="宋体" w:hAnsi="宋体"/>
                <w:kern w:val="0"/>
                <w:szCs w:val="21"/>
              </w:rPr>
              <w:t>将现有桂山锚地北侧、西侧扩建并与现有桂山锚地合并使用，充分利用天然水深，按满足5万吨级（不满载）及以下船舶锚泊要求建设货船候潮、待泊、引航、检疫和联检锚地，锚地扩建面积约6.95平方公里</w:t>
            </w:r>
            <w:r>
              <w:rPr>
                <w:rFonts w:hint="eastAsia" w:ascii="宋体" w:hAnsi="宋体"/>
                <w:kern w:val="0"/>
                <w:szCs w:val="21"/>
              </w:rPr>
              <w:t>。</w:t>
            </w:r>
          </w:p>
        </w:tc>
        <w:tc>
          <w:tcPr>
            <w:tcW w:w="2577" w:type="dxa"/>
            <w:tcBorders>
              <w:top w:val="single" w:color="auto" w:sz="4" w:space="0"/>
              <w:left w:val="single" w:color="auto" w:sz="4" w:space="0"/>
              <w:bottom w:val="single" w:color="auto" w:sz="4" w:space="0"/>
              <w:right w:val="single" w:color="auto" w:sz="4" w:space="0"/>
            </w:tcBorders>
            <w:vAlign w:val="center"/>
          </w:tcPr>
          <w:p w14:paraId="10A951CA">
            <w:pPr>
              <w:jc w:val="center"/>
              <w:rPr>
                <w:rFonts w:ascii="宋体" w:hAnsi="宋体"/>
                <w:kern w:val="0"/>
                <w:szCs w:val="21"/>
              </w:rPr>
            </w:pPr>
            <w:r>
              <w:rPr>
                <w:rFonts w:hint="eastAsia" w:ascii="宋体" w:hAnsi="宋体"/>
                <w:kern w:val="0"/>
                <w:szCs w:val="21"/>
              </w:rPr>
              <w:t>广州市港务局</w:t>
            </w:r>
          </w:p>
        </w:tc>
      </w:tr>
      <w:tr w14:paraId="2420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0E7C8290">
            <w:pPr>
              <w:jc w:val="center"/>
              <w:rPr>
                <w:rFonts w:hint="eastAsia" w:ascii="宋体" w:hAnsi="宋体" w:eastAsia="宋体"/>
                <w:kern w:val="0"/>
                <w:szCs w:val="21"/>
                <w:lang w:eastAsia="zh-CN"/>
              </w:rPr>
            </w:pPr>
            <w:r>
              <w:rPr>
                <w:rFonts w:hint="eastAsia" w:ascii="宋体" w:hAnsi="宋体"/>
                <w:kern w:val="0"/>
                <w:szCs w:val="21"/>
                <w:lang w:val="en-US" w:eastAsia="zh-CN"/>
              </w:rPr>
              <w:t>3</w:t>
            </w:r>
          </w:p>
        </w:tc>
        <w:tc>
          <w:tcPr>
            <w:tcW w:w="2698" w:type="dxa"/>
            <w:tcBorders>
              <w:top w:val="single" w:color="auto" w:sz="4" w:space="0"/>
              <w:left w:val="single" w:color="auto" w:sz="4" w:space="0"/>
              <w:bottom w:val="single" w:color="auto" w:sz="4" w:space="0"/>
              <w:right w:val="single" w:color="auto" w:sz="4" w:space="0"/>
            </w:tcBorders>
            <w:vAlign w:val="center"/>
          </w:tcPr>
          <w:p w14:paraId="796D0041">
            <w:pPr>
              <w:jc w:val="left"/>
              <w:rPr>
                <w:rFonts w:ascii="宋体" w:hAnsi="宋体"/>
                <w:kern w:val="0"/>
                <w:szCs w:val="21"/>
              </w:rPr>
            </w:pPr>
            <w:r>
              <w:rPr>
                <w:rFonts w:hint="eastAsia" w:ascii="宋体" w:hAnsi="宋体"/>
                <w:kern w:val="0"/>
                <w:szCs w:val="21"/>
              </w:rPr>
              <w:t>南沙港区四期工程</w:t>
            </w:r>
          </w:p>
        </w:tc>
        <w:tc>
          <w:tcPr>
            <w:tcW w:w="5950" w:type="dxa"/>
            <w:tcBorders>
              <w:top w:val="single" w:color="auto" w:sz="4" w:space="0"/>
              <w:left w:val="single" w:color="auto" w:sz="4" w:space="0"/>
              <w:bottom w:val="single" w:color="auto" w:sz="4" w:space="0"/>
              <w:right w:val="single" w:color="auto" w:sz="4" w:space="0"/>
            </w:tcBorders>
            <w:vAlign w:val="center"/>
          </w:tcPr>
          <w:p w14:paraId="059EB9DD">
            <w:pPr>
              <w:jc w:val="left"/>
              <w:rPr>
                <w:rFonts w:ascii="宋体" w:hAnsi="宋体"/>
                <w:kern w:val="0"/>
                <w:szCs w:val="21"/>
              </w:rPr>
            </w:pPr>
            <w:r>
              <w:rPr>
                <w:rFonts w:hint="eastAsia" w:ascii="宋体" w:hAnsi="宋体"/>
                <w:kern w:val="0"/>
                <w:szCs w:val="21"/>
              </w:rPr>
              <w:t>建设2个10万吨级、2个5万吨级集装箱泊位和24个2000吨级驳船泊位，设计通过能力480万TEU/年。</w:t>
            </w:r>
          </w:p>
        </w:tc>
        <w:tc>
          <w:tcPr>
            <w:tcW w:w="2577" w:type="dxa"/>
            <w:tcBorders>
              <w:top w:val="single" w:color="auto" w:sz="4" w:space="0"/>
              <w:left w:val="single" w:color="auto" w:sz="4" w:space="0"/>
              <w:bottom w:val="single" w:color="auto" w:sz="4" w:space="0"/>
              <w:right w:val="single" w:color="auto" w:sz="4" w:space="0"/>
            </w:tcBorders>
            <w:vAlign w:val="center"/>
          </w:tcPr>
          <w:p w14:paraId="61F276B4">
            <w:pPr>
              <w:jc w:val="center"/>
              <w:rPr>
                <w:rFonts w:ascii="宋体" w:hAnsi="宋体"/>
                <w:kern w:val="0"/>
                <w:szCs w:val="21"/>
              </w:rPr>
            </w:pPr>
            <w:r>
              <w:rPr>
                <w:rFonts w:hint="eastAsia" w:ascii="宋体" w:hAnsi="宋体"/>
                <w:kern w:val="0"/>
                <w:szCs w:val="21"/>
              </w:rPr>
              <w:t>广州港集团</w:t>
            </w:r>
          </w:p>
        </w:tc>
      </w:tr>
      <w:tr w14:paraId="1381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47DC94CB">
            <w:pPr>
              <w:jc w:val="center"/>
              <w:rPr>
                <w:rFonts w:hint="eastAsia" w:ascii="宋体" w:hAnsi="宋体" w:eastAsia="宋体"/>
                <w:kern w:val="0"/>
                <w:szCs w:val="21"/>
                <w:lang w:eastAsia="zh-CN"/>
              </w:rPr>
            </w:pPr>
            <w:r>
              <w:rPr>
                <w:rFonts w:hint="eastAsia" w:ascii="宋体" w:hAnsi="宋体"/>
                <w:kern w:val="0"/>
                <w:szCs w:val="21"/>
                <w:lang w:val="en-US" w:eastAsia="zh-CN"/>
              </w:rPr>
              <w:t>4</w:t>
            </w:r>
          </w:p>
        </w:tc>
        <w:tc>
          <w:tcPr>
            <w:tcW w:w="2698" w:type="dxa"/>
            <w:tcBorders>
              <w:top w:val="single" w:color="auto" w:sz="4" w:space="0"/>
              <w:left w:val="single" w:color="auto" w:sz="4" w:space="0"/>
              <w:bottom w:val="single" w:color="auto" w:sz="4" w:space="0"/>
              <w:right w:val="single" w:color="auto" w:sz="4" w:space="0"/>
            </w:tcBorders>
            <w:vAlign w:val="center"/>
          </w:tcPr>
          <w:p w14:paraId="54D865BC">
            <w:pPr>
              <w:jc w:val="left"/>
              <w:rPr>
                <w:rFonts w:ascii="宋体" w:hAnsi="宋体"/>
                <w:kern w:val="0"/>
                <w:szCs w:val="21"/>
              </w:rPr>
            </w:pPr>
            <w:r>
              <w:rPr>
                <w:rFonts w:hint="eastAsia" w:ascii="宋体" w:hAnsi="宋体"/>
                <w:kern w:val="0"/>
                <w:szCs w:val="21"/>
              </w:rPr>
              <w:t>南沙港区近洋码头工程</w:t>
            </w:r>
          </w:p>
        </w:tc>
        <w:tc>
          <w:tcPr>
            <w:tcW w:w="5950" w:type="dxa"/>
            <w:tcBorders>
              <w:top w:val="single" w:color="auto" w:sz="4" w:space="0"/>
              <w:left w:val="single" w:color="auto" w:sz="4" w:space="0"/>
              <w:bottom w:val="single" w:color="auto" w:sz="4" w:space="0"/>
              <w:right w:val="single" w:color="auto" w:sz="4" w:space="0"/>
            </w:tcBorders>
            <w:vAlign w:val="center"/>
          </w:tcPr>
          <w:p w14:paraId="6FB9527E">
            <w:pPr>
              <w:jc w:val="left"/>
              <w:rPr>
                <w:rFonts w:ascii="宋体" w:hAnsi="宋体"/>
                <w:kern w:val="0"/>
                <w:szCs w:val="21"/>
              </w:rPr>
            </w:pPr>
            <w:r>
              <w:rPr>
                <w:rFonts w:hint="eastAsia" w:ascii="宋体" w:hAnsi="宋体"/>
                <w:kern w:val="0"/>
                <w:szCs w:val="21"/>
              </w:rPr>
              <w:t>近洋国际汽车综合服务产业园配套工程，建设2个5万吨级通用泊位，设计通过能力滚装汽车80万辆/年、重大件50万吨/年。</w:t>
            </w:r>
          </w:p>
        </w:tc>
        <w:tc>
          <w:tcPr>
            <w:tcW w:w="2577" w:type="dxa"/>
            <w:tcBorders>
              <w:top w:val="single" w:color="auto" w:sz="4" w:space="0"/>
              <w:left w:val="single" w:color="auto" w:sz="4" w:space="0"/>
              <w:bottom w:val="single" w:color="auto" w:sz="4" w:space="0"/>
              <w:right w:val="single" w:color="auto" w:sz="4" w:space="0"/>
            </w:tcBorders>
            <w:vAlign w:val="center"/>
          </w:tcPr>
          <w:p w14:paraId="78E26DB0">
            <w:pPr>
              <w:jc w:val="center"/>
              <w:rPr>
                <w:rFonts w:ascii="宋体" w:hAnsi="宋体"/>
                <w:kern w:val="0"/>
                <w:szCs w:val="21"/>
              </w:rPr>
            </w:pPr>
            <w:r>
              <w:rPr>
                <w:rFonts w:hint="eastAsia" w:ascii="宋体" w:hAnsi="宋体"/>
                <w:kern w:val="0"/>
                <w:szCs w:val="21"/>
              </w:rPr>
              <w:t>广州港集团</w:t>
            </w:r>
          </w:p>
        </w:tc>
      </w:tr>
      <w:tr w14:paraId="7365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52B25C53">
            <w:pPr>
              <w:jc w:val="center"/>
              <w:rPr>
                <w:rFonts w:hint="eastAsia" w:ascii="宋体" w:hAnsi="宋体" w:eastAsia="宋体"/>
                <w:kern w:val="0"/>
                <w:szCs w:val="21"/>
                <w:lang w:eastAsia="zh-CN"/>
              </w:rPr>
            </w:pPr>
            <w:r>
              <w:rPr>
                <w:rFonts w:hint="eastAsia" w:ascii="宋体" w:hAnsi="宋体"/>
                <w:kern w:val="0"/>
                <w:szCs w:val="21"/>
                <w:lang w:val="en-US" w:eastAsia="zh-CN"/>
              </w:rPr>
              <w:t>5</w:t>
            </w:r>
          </w:p>
        </w:tc>
        <w:tc>
          <w:tcPr>
            <w:tcW w:w="2698" w:type="dxa"/>
            <w:tcBorders>
              <w:top w:val="single" w:color="auto" w:sz="4" w:space="0"/>
              <w:left w:val="single" w:color="auto" w:sz="4" w:space="0"/>
              <w:bottom w:val="single" w:color="auto" w:sz="4" w:space="0"/>
              <w:right w:val="single" w:color="auto" w:sz="4" w:space="0"/>
            </w:tcBorders>
            <w:vAlign w:val="center"/>
          </w:tcPr>
          <w:p w14:paraId="4C5E6800">
            <w:pPr>
              <w:jc w:val="left"/>
              <w:rPr>
                <w:rFonts w:ascii="宋体" w:hAnsi="宋体"/>
                <w:kern w:val="0"/>
                <w:szCs w:val="21"/>
              </w:rPr>
            </w:pPr>
            <w:r>
              <w:rPr>
                <w:rFonts w:hint="eastAsia" w:ascii="宋体" w:hAnsi="宋体"/>
                <w:kern w:val="0"/>
                <w:szCs w:val="21"/>
              </w:rPr>
              <w:t>南沙港区粮食及通用码头扩建工程</w:t>
            </w:r>
          </w:p>
        </w:tc>
        <w:tc>
          <w:tcPr>
            <w:tcW w:w="5950" w:type="dxa"/>
            <w:tcBorders>
              <w:top w:val="single" w:color="auto" w:sz="4" w:space="0"/>
              <w:left w:val="single" w:color="auto" w:sz="4" w:space="0"/>
              <w:bottom w:val="single" w:color="auto" w:sz="4" w:space="0"/>
              <w:right w:val="single" w:color="auto" w:sz="4" w:space="0"/>
            </w:tcBorders>
            <w:vAlign w:val="center"/>
          </w:tcPr>
          <w:p w14:paraId="71B2DFF3">
            <w:pPr>
              <w:jc w:val="left"/>
              <w:rPr>
                <w:rFonts w:ascii="宋体" w:hAnsi="宋体"/>
                <w:kern w:val="0"/>
                <w:szCs w:val="21"/>
              </w:rPr>
            </w:pPr>
            <w:r>
              <w:rPr>
                <w:rFonts w:hint="eastAsia" w:ascii="宋体" w:hAnsi="宋体"/>
                <w:kern w:val="0"/>
                <w:szCs w:val="21"/>
              </w:rPr>
              <w:t>建设2个10万吨级通用泊位、1个4万吨级杂货泊位、5个5千吨级驳船泊位，设计通过能力1058万吨/年。</w:t>
            </w:r>
          </w:p>
        </w:tc>
        <w:tc>
          <w:tcPr>
            <w:tcW w:w="2577" w:type="dxa"/>
            <w:tcBorders>
              <w:top w:val="single" w:color="auto" w:sz="4" w:space="0"/>
              <w:left w:val="single" w:color="auto" w:sz="4" w:space="0"/>
              <w:bottom w:val="single" w:color="auto" w:sz="4" w:space="0"/>
              <w:right w:val="single" w:color="auto" w:sz="4" w:space="0"/>
            </w:tcBorders>
            <w:vAlign w:val="center"/>
          </w:tcPr>
          <w:p w14:paraId="7CCFB62F">
            <w:pPr>
              <w:jc w:val="center"/>
              <w:rPr>
                <w:rFonts w:ascii="宋体" w:hAnsi="宋体"/>
                <w:kern w:val="0"/>
                <w:szCs w:val="21"/>
              </w:rPr>
            </w:pPr>
            <w:r>
              <w:rPr>
                <w:rFonts w:hint="eastAsia" w:ascii="宋体" w:hAnsi="宋体"/>
                <w:kern w:val="0"/>
                <w:szCs w:val="21"/>
              </w:rPr>
              <w:t>广州港集团</w:t>
            </w:r>
          </w:p>
        </w:tc>
      </w:tr>
      <w:tr w14:paraId="6F4D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1B075B51">
            <w:pPr>
              <w:jc w:val="center"/>
              <w:rPr>
                <w:rFonts w:hint="eastAsia" w:ascii="宋体" w:hAnsi="宋体" w:eastAsia="宋体"/>
                <w:kern w:val="0"/>
                <w:szCs w:val="21"/>
                <w:lang w:eastAsia="zh-CN"/>
              </w:rPr>
            </w:pPr>
            <w:r>
              <w:rPr>
                <w:rFonts w:hint="eastAsia" w:ascii="宋体" w:hAnsi="宋体"/>
                <w:kern w:val="0"/>
                <w:szCs w:val="21"/>
                <w:lang w:val="en-US" w:eastAsia="zh-CN"/>
              </w:rPr>
              <w:t>6</w:t>
            </w:r>
          </w:p>
        </w:tc>
        <w:tc>
          <w:tcPr>
            <w:tcW w:w="2698" w:type="dxa"/>
            <w:tcBorders>
              <w:top w:val="single" w:color="auto" w:sz="4" w:space="0"/>
              <w:left w:val="single" w:color="auto" w:sz="4" w:space="0"/>
              <w:bottom w:val="single" w:color="auto" w:sz="4" w:space="0"/>
              <w:right w:val="single" w:color="auto" w:sz="4" w:space="0"/>
            </w:tcBorders>
            <w:vAlign w:val="center"/>
          </w:tcPr>
          <w:p w14:paraId="162953ED">
            <w:pPr>
              <w:jc w:val="left"/>
              <w:rPr>
                <w:rFonts w:ascii="宋体" w:hAnsi="宋体"/>
                <w:kern w:val="0"/>
                <w:szCs w:val="21"/>
              </w:rPr>
            </w:pPr>
            <w:r>
              <w:rPr>
                <w:rFonts w:hint="eastAsia" w:ascii="宋体" w:hAnsi="宋体"/>
                <w:kern w:val="0"/>
                <w:szCs w:val="21"/>
              </w:rPr>
              <w:t>新沙港区11-12号通用泊位工程</w:t>
            </w:r>
          </w:p>
        </w:tc>
        <w:tc>
          <w:tcPr>
            <w:tcW w:w="5950" w:type="dxa"/>
            <w:tcBorders>
              <w:top w:val="single" w:color="auto" w:sz="4" w:space="0"/>
              <w:left w:val="single" w:color="auto" w:sz="4" w:space="0"/>
              <w:bottom w:val="single" w:color="auto" w:sz="4" w:space="0"/>
              <w:right w:val="single" w:color="auto" w:sz="4" w:space="0"/>
            </w:tcBorders>
            <w:vAlign w:val="center"/>
          </w:tcPr>
          <w:p w14:paraId="372EA619">
            <w:pPr>
              <w:jc w:val="left"/>
              <w:rPr>
                <w:rFonts w:ascii="宋体" w:hAnsi="宋体"/>
                <w:kern w:val="0"/>
                <w:szCs w:val="21"/>
              </w:rPr>
            </w:pPr>
            <w:r>
              <w:rPr>
                <w:rFonts w:hint="eastAsia" w:ascii="宋体" w:hAnsi="宋体"/>
                <w:kern w:val="0"/>
                <w:szCs w:val="21"/>
              </w:rPr>
              <w:t>建设2个7万吨级通用泊位、4个3000吨级及5个2000吨级驳船泊位，设计通过能力通用件杂货560万吨/年、集装箱50万TEU/年。</w:t>
            </w:r>
          </w:p>
        </w:tc>
        <w:tc>
          <w:tcPr>
            <w:tcW w:w="2577" w:type="dxa"/>
            <w:tcBorders>
              <w:top w:val="single" w:color="auto" w:sz="4" w:space="0"/>
              <w:left w:val="single" w:color="auto" w:sz="4" w:space="0"/>
              <w:bottom w:val="single" w:color="auto" w:sz="4" w:space="0"/>
              <w:right w:val="single" w:color="auto" w:sz="4" w:space="0"/>
            </w:tcBorders>
            <w:vAlign w:val="center"/>
          </w:tcPr>
          <w:p w14:paraId="22B599DD">
            <w:pPr>
              <w:jc w:val="center"/>
              <w:rPr>
                <w:rFonts w:ascii="宋体" w:hAnsi="宋体"/>
                <w:kern w:val="0"/>
                <w:szCs w:val="21"/>
              </w:rPr>
            </w:pPr>
            <w:r>
              <w:rPr>
                <w:rFonts w:hint="eastAsia" w:ascii="宋体" w:hAnsi="宋体"/>
                <w:kern w:val="0"/>
                <w:szCs w:val="21"/>
              </w:rPr>
              <w:t>广州港集团</w:t>
            </w:r>
          </w:p>
        </w:tc>
      </w:tr>
      <w:tr w14:paraId="7A22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6CFFA786">
            <w:pPr>
              <w:jc w:val="center"/>
              <w:rPr>
                <w:rFonts w:hint="eastAsia" w:ascii="宋体" w:hAnsi="宋体" w:eastAsia="宋体"/>
                <w:kern w:val="0"/>
                <w:szCs w:val="21"/>
                <w:lang w:eastAsia="zh-CN"/>
              </w:rPr>
            </w:pPr>
            <w:r>
              <w:rPr>
                <w:rFonts w:hint="eastAsia" w:ascii="宋体" w:hAnsi="宋体"/>
                <w:kern w:val="0"/>
                <w:szCs w:val="21"/>
                <w:lang w:val="en-US" w:eastAsia="zh-CN"/>
              </w:rPr>
              <w:t>7</w:t>
            </w:r>
          </w:p>
        </w:tc>
        <w:tc>
          <w:tcPr>
            <w:tcW w:w="2698" w:type="dxa"/>
            <w:tcBorders>
              <w:top w:val="single" w:color="auto" w:sz="4" w:space="0"/>
              <w:left w:val="single" w:color="auto" w:sz="4" w:space="0"/>
              <w:bottom w:val="single" w:color="auto" w:sz="4" w:space="0"/>
              <w:right w:val="single" w:color="auto" w:sz="4" w:space="0"/>
            </w:tcBorders>
            <w:vAlign w:val="center"/>
          </w:tcPr>
          <w:p w14:paraId="1E587B8F">
            <w:pPr>
              <w:jc w:val="left"/>
              <w:rPr>
                <w:rFonts w:ascii="宋体" w:hAnsi="宋体"/>
                <w:kern w:val="0"/>
                <w:szCs w:val="21"/>
              </w:rPr>
            </w:pPr>
            <w:r>
              <w:rPr>
                <w:rFonts w:hint="eastAsia" w:ascii="宋体" w:hAnsi="宋体"/>
                <w:kern w:val="0"/>
                <w:szCs w:val="21"/>
              </w:rPr>
              <w:t>广州LNG应急调峰气源站项目</w:t>
            </w:r>
          </w:p>
        </w:tc>
        <w:tc>
          <w:tcPr>
            <w:tcW w:w="5950" w:type="dxa"/>
            <w:tcBorders>
              <w:top w:val="single" w:color="auto" w:sz="4" w:space="0"/>
              <w:left w:val="single" w:color="auto" w:sz="4" w:space="0"/>
              <w:bottom w:val="single" w:color="auto" w:sz="4" w:space="0"/>
              <w:right w:val="single" w:color="auto" w:sz="4" w:space="0"/>
            </w:tcBorders>
            <w:vAlign w:val="center"/>
          </w:tcPr>
          <w:p w14:paraId="224965AD">
            <w:pPr>
              <w:jc w:val="left"/>
              <w:rPr>
                <w:rFonts w:ascii="宋体" w:hAnsi="宋体"/>
                <w:kern w:val="0"/>
                <w:szCs w:val="21"/>
              </w:rPr>
            </w:pPr>
            <w:r>
              <w:rPr>
                <w:rFonts w:hint="eastAsia" w:ascii="宋体" w:hAnsi="宋体"/>
                <w:kern w:val="0"/>
                <w:szCs w:val="21"/>
              </w:rPr>
              <w:t>建设两座16万立方米天然气储罐，以及1座14.7万m</w:t>
            </w:r>
            <w:r>
              <w:rPr>
                <w:rFonts w:ascii="宋体" w:hAnsi="宋体"/>
                <w:kern w:val="0"/>
                <w:szCs w:val="21"/>
              </w:rPr>
              <w:t>³</w:t>
            </w:r>
            <w:r>
              <w:rPr>
                <w:rFonts w:hint="eastAsia" w:ascii="宋体" w:hAnsi="宋体"/>
                <w:kern w:val="0"/>
                <w:szCs w:val="21"/>
              </w:rPr>
              <w:t>（8万吨级）LNG专用码头、管线、场站等配套设施。</w:t>
            </w:r>
          </w:p>
        </w:tc>
        <w:tc>
          <w:tcPr>
            <w:tcW w:w="2577" w:type="dxa"/>
            <w:tcBorders>
              <w:top w:val="single" w:color="auto" w:sz="4" w:space="0"/>
              <w:left w:val="single" w:color="auto" w:sz="4" w:space="0"/>
              <w:bottom w:val="single" w:color="auto" w:sz="4" w:space="0"/>
              <w:right w:val="single" w:color="auto" w:sz="4" w:space="0"/>
            </w:tcBorders>
            <w:vAlign w:val="center"/>
          </w:tcPr>
          <w:p w14:paraId="57671316">
            <w:pPr>
              <w:jc w:val="center"/>
              <w:rPr>
                <w:rFonts w:ascii="宋体" w:hAnsi="宋体"/>
                <w:kern w:val="0"/>
                <w:szCs w:val="21"/>
              </w:rPr>
            </w:pPr>
            <w:r>
              <w:rPr>
                <w:rFonts w:hint="eastAsia" w:ascii="宋体" w:hAnsi="宋体"/>
                <w:kern w:val="0"/>
                <w:szCs w:val="21"/>
              </w:rPr>
              <w:t>广州发展集团</w:t>
            </w:r>
          </w:p>
        </w:tc>
      </w:tr>
      <w:tr w14:paraId="065A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4EDAC1E7">
            <w:pPr>
              <w:jc w:val="center"/>
              <w:rPr>
                <w:rFonts w:hint="eastAsia" w:ascii="宋体" w:hAnsi="宋体" w:eastAsia="宋体"/>
                <w:kern w:val="0"/>
                <w:szCs w:val="21"/>
                <w:lang w:eastAsia="zh-CN"/>
              </w:rPr>
            </w:pPr>
            <w:r>
              <w:rPr>
                <w:rFonts w:hint="eastAsia" w:ascii="宋体" w:hAnsi="宋体"/>
                <w:kern w:val="0"/>
                <w:szCs w:val="21"/>
                <w:lang w:val="en-US" w:eastAsia="zh-CN"/>
              </w:rPr>
              <w:t>8</w:t>
            </w:r>
          </w:p>
        </w:tc>
        <w:tc>
          <w:tcPr>
            <w:tcW w:w="2698" w:type="dxa"/>
            <w:tcBorders>
              <w:top w:val="single" w:color="auto" w:sz="4" w:space="0"/>
              <w:left w:val="single" w:color="auto" w:sz="4" w:space="0"/>
              <w:bottom w:val="single" w:color="auto" w:sz="4" w:space="0"/>
              <w:right w:val="single" w:color="auto" w:sz="4" w:space="0"/>
            </w:tcBorders>
            <w:vAlign w:val="center"/>
          </w:tcPr>
          <w:p w14:paraId="570CCFAA">
            <w:pPr>
              <w:jc w:val="left"/>
              <w:rPr>
                <w:rFonts w:ascii="宋体" w:hAnsi="宋体"/>
                <w:kern w:val="0"/>
                <w:szCs w:val="21"/>
              </w:rPr>
            </w:pPr>
            <w:r>
              <w:rPr>
                <w:rFonts w:hint="eastAsia" w:ascii="宋体" w:hAnsi="宋体"/>
                <w:kern w:val="0"/>
                <w:szCs w:val="21"/>
              </w:rPr>
              <w:t>琶洲客运口岸码头项目</w:t>
            </w:r>
          </w:p>
        </w:tc>
        <w:tc>
          <w:tcPr>
            <w:tcW w:w="5950" w:type="dxa"/>
            <w:tcBorders>
              <w:top w:val="single" w:color="auto" w:sz="4" w:space="0"/>
              <w:left w:val="single" w:color="auto" w:sz="4" w:space="0"/>
              <w:bottom w:val="single" w:color="auto" w:sz="4" w:space="0"/>
              <w:right w:val="single" w:color="auto" w:sz="4" w:space="0"/>
            </w:tcBorders>
            <w:vAlign w:val="center"/>
          </w:tcPr>
          <w:p w14:paraId="67B7EF66">
            <w:pPr>
              <w:jc w:val="left"/>
              <w:rPr>
                <w:rFonts w:ascii="宋体" w:hAnsi="宋体"/>
                <w:kern w:val="0"/>
                <w:szCs w:val="21"/>
              </w:rPr>
            </w:pPr>
            <w:r>
              <w:rPr>
                <w:rFonts w:hint="eastAsia" w:ascii="宋体" w:hAnsi="宋体"/>
                <w:kern w:val="0"/>
                <w:szCs w:val="21"/>
              </w:rPr>
              <w:t>在海珠区琶洲建设6个500吨级高速客船泊位及配套联检楼。</w:t>
            </w:r>
          </w:p>
        </w:tc>
        <w:tc>
          <w:tcPr>
            <w:tcW w:w="2577" w:type="dxa"/>
            <w:tcBorders>
              <w:top w:val="single" w:color="auto" w:sz="4" w:space="0"/>
              <w:left w:val="single" w:color="auto" w:sz="4" w:space="0"/>
              <w:bottom w:val="single" w:color="auto" w:sz="4" w:space="0"/>
              <w:right w:val="single" w:color="auto" w:sz="4" w:space="0"/>
            </w:tcBorders>
            <w:vAlign w:val="center"/>
          </w:tcPr>
          <w:p w14:paraId="2BDE919F">
            <w:pPr>
              <w:jc w:val="center"/>
              <w:rPr>
                <w:rFonts w:ascii="宋体" w:hAnsi="宋体"/>
                <w:kern w:val="0"/>
                <w:szCs w:val="21"/>
              </w:rPr>
            </w:pPr>
            <w:r>
              <w:rPr>
                <w:rFonts w:hint="eastAsia" w:ascii="宋体" w:hAnsi="宋体"/>
                <w:kern w:val="0"/>
                <w:szCs w:val="21"/>
              </w:rPr>
              <w:t>海珠区</w:t>
            </w:r>
          </w:p>
        </w:tc>
      </w:tr>
      <w:tr w14:paraId="1E2D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19BA7AFB">
            <w:pPr>
              <w:jc w:val="center"/>
              <w:rPr>
                <w:rFonts w:hint="eastAsia" w:ascii="宋体" w:hAnsi="宋体" w:eastAsia="宋体"/>
                <w:kern w:val="0"/>
                <w:szCs w:val="21"/>
                <w:lang w:eastAsia="zh-CN"/>
              </w:rPr>
            </w:pPr>
            <w:r>
              <w:rPr>
                <w:rFonts w:hint="eastAsia" w:ascii="宋体" w:hAnsi="宋体"/>
                <w:kern w:val="0"/>
                <w:szCs w:val="21"/>
                <w:lang w:val="en-US" w:eastAsia="zh-CN"/>
              </w:rPr>
              <w:t>9</w:t>
            </w:r>
          </w:p>
        </w:tc>
        <w:tc>
          <w:tcPr>
            <w:tcW w:w="2698" w:type="dxa"/>
            <w:tcBorders>
              <w:top w:val="single" w:color="auto" w:sz="4" w:space="0"/>
              <w:left w:val="single" w:color="auto" w:sz="4" w:space="0"/>
              <w:bottom w:val="single" w:color="auto" w:sz="4" w:space="0"/>
              <w:right w:val="single" w:color="auto" w:sz="4" w:space="0"/>
            </w:tcBorders>
            <w:vAlign w:val="center"/>
          </w:tcPr>
          <w:p w14:paraId="111E6DEA">
            <w:pPr>
              <w:jc w:val="left"/>
              <w:rPr>
                <w:rFonts w:ascii="宋体" w:hAnsi="宋体"/>
                <w:kern w:val="0"/>
                <w:szCs w:val="21"/>
              </w:rPr>
            </w:pPr>
            <w:r>
              <w:rPr>
                <w:rFonts w:hint="eastAsia" w:ascii="宋体" w:hAnsi="宋体"/>
                <w:kern w:val="0"/>
                <w:szCs w:val="21"/>
              </w:rPr>
              <w:t>南沙港铁路工程</w:t>
            </w:r>
          </w:p>
        </w:tc>
        <w:tc>
          <w:tcPr>
            <w:tcW w:w="5950" w:type="dxa"/>
            <w:tcBorders>
              <w:top w:val="single" w:color="auto" w:sz="4" w:space="0"/>
              <w:left w:val="single" w:color="auto" w:sz="4" w:space="0"/>
              <w:bottom w:val="single" w:color="auto" w:sz="4" w:space="0"/>
              <w:right w:val="single" w:color="auto" w:sz="4" w:space="0"/>
            </w:tcBorders>
            <w:vAlign w:val="center"/>
          </w:tcPr>
          <w:p w14:paraId="6F46E916">
            <w:pPr>
              <w:jc w:val="left"/>
              <w:rPr>
                <w:rFonts w:ascii="宋体" w:hAnsi="宋体"/>
                <w:kern w:val="0"/>
                <w:szCs w:val="21"/>
              </w:rPr>
            </w:pPr>
            <w:r>
              <w:rPr>
                <w:rFonts w:hint="eastAsia" w:ascii="宋体" w:hAnsi="宋体"/>
                <w:kern w:val="0"/>
                <w:szCs w:val="21"/>
              </w:rPr>
              <w:t>南沙港铁路全长88.0km，自广珠铁路鹤山南站引出，经江门、顺德、中山、广州万顷沙至南沙港，设鹤山南、黄圃、万顷沙、南沙港4个车站及南沙港区集装箱作业场1处。南沙港铁路南部集装箱装卸场按一束四线（4股道）的规模设置，采用尽头式布置形式，装卸线有效长为810m，总占地面积约9.6万㎡，设计作业能力100万TEU。</w:t>
            </w:r>
          </w:p>
        </w:tc>
        <w:tc>
          <w:tcPr>
            <w:tcW w:w="2577" w:type="dxa"/>
            <w:tcBorders>
              <w:top w:val="single" w:color="auto" w:sz="4" w:space="0"/>
              <w:left w:val="single" w:color="auto" w:sz="4" w:space="0"/>
              <w:bottom w:val="single" w:color="auto" w:sz="4" w:space="0"/>
              <w:right w:val="single" w:color="auto" w:sz="4" w:space="0"/>
            </w:tcBorders>
            <w:vAlign w:val="center"/>
          </w:tcPr>
          <w:p w14:paraId="43C0C7A2">
            <w:pPr>
              <w:jc w:val="center"/>
              <w:rPr>
                <w:rFonts w:ascii="宋体" w:hAnsi="宋体"/>
                <w:kern w:val="0"/>
                <w:szCs w:val="21"/>
              </w:rPr>
            </w:pPr>
            <w:r>
              <w:rPr>
                <w:rFonts w:hint="eastAsia" w:ascii="宋体" w:hAnsi="宋体"/>
                <w:kern w:val="0"/>
                <w:szCs w:val="21"/>
              </w:rPr>
              <w:t>市发展改革委</w:t>
            </w:r>
          </w:p>
        </w:tc>
      </w:tr>
      <w:tr w14:paraId="68D8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3D518D7F">
            <w:pPr>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c>
          <w:tcPr>
            <w:tcW w:w="2698" w:type="dxa"/>
            <w:tcBorders>
              <w:top w:val="single" w:color="auto" w:sz="4" w:space="0"/>
              <w:left w:val="single" w:color="auto" w:sz="4" w:space="0"/>
              <w:bottom w:val="single" w:color="auto" w:sz="4" w:space="0"/>
              <w:right w:val="single" w:color="auto" w:sz="4" w:space="0"/>
            </w:tcBorders>
            <w:vAlign w:val="center"/>
          </w:tcPr>
          <w:p w14:paraId="73236375">
            <w:pPr>
              <w:jc w:val="left"/>
              <w:rPr>
                <w:rFonts w:ascii="宋体" w:hAnsi="宋体"/>
                <w:kern w:val="0"/>
                <w:szCs w:val="21"/>
              </w:rPr>
            </w:pPr>
            <w:r>
              <w:rPr>
                <w:rFonts w:hint="eastAsia" w:ascii="宋体" w:hAnsi="宋体"/>
                <w:kern w:val="0"/>
                <w:szCs w:val="21"/>
              </w:rPr>
              <w:t>广州南沙国际物流中心</w:t>
            </w:r>
          </w:p>
        </w:tc>
        <w:tc>
          <w:tcPr>
            <w:tcW w:w="5950" w:type="dxa"/>
            <w:tcBorders>
              <w:top w:val="single" w:color="auto" w:sz="4" w:space="0"/>
              <w:left w:val="single" w:color="auto" w:sz="4" w:space="0"/>
              <w:bottom w:val="single" w:color="auto" w:sz="4" w:space="0"/>
              <w:right w:val="single" w:color="auto" w:sz="4" w:space="0"/>
            </w:tcBorders>
            <w:vAlign w:val="center"/>
          </w:tcPr>
          <w:p w14:paraId="440ABF2F">
            <w:pPr>
              <w:jc w:val="left"/>
              <w:rPr>
                <w:rFonts w:ascii="宋体" w:hAnsi="宋体"/>
                <w:kern w:val="0"/>
                <w:szCs w:val="21"/>
              </w:rPr>
            </w:pPr>
            <w:r>
              <w:rPr>
                <w:rFonts w:hint="eastAsia" w:ascii="宋体" w:hAnsi="宋体"/>
                <w:kern w:val="0"/>
                <w:szCs w:val="21"/>
              </w:rPr>
              <w:t>位于广州南沙龙穴岛，总占地面积32.1万㎡，分为南北两区。南区定位为建设具有临港分配枢纽型冷库的综合型冷链物流基地、北区定位为具有铁路集装箱站场的普通货物物流园区。</w:t>
            </w:r>
          </w:p>
        </w:tc>
        <w:tc>
          <w:tcPr>
            <w:tcW w:w="2577" w:type="dxa"/>
            <w:tcBorders>
              <w:top w:val="single" w:color="auto" w:sz="4" w:space="0"/>
              <w:left w:val="single" w:color="auto" w:sz="4" w:space="0"/>
              <w:bottom w:val="single" w:color="auto" w:sz="4" w:space="0"/>
              <w:right w:val="single" w:color="auto" w:sz="4" w:space="0"/>
            </w:tcBorders>
            <w:vAlign w:val="center"/>
          </w:tcPr>
          <w:p w14:paraId="38555A9E">
            <w:pPr>
              <w:jc w:val="center"/>
              <w:rPr>
                <w:rFonts w:ascii="宋体" w:hAnsi="宋体"/>
                <w:kern w:val="0"/>
                <w:szCs w:val="21"/>
              </w:rPr>
            </w:pPr>
            <w:r>
              <w:rPr>
                <w:rFonts w:hint="eastAsia" w:ascii="宋体" w:hAnsi="宋体"/>
                <w:kern w:val="0"/>
                <w:szCs w:val="21"/>
              </w:rPr>
              <w:t>广州港集团</w:t>
            </w:r>
          </w:p>
        </w:tc>
      </w:tr>
      <w:tr w14:paraId="7534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1AEBC254">
            <w:pPr>
              <w:jc w:val="center"/>
              <w:rPr>
                <w:rFonts w:hint="default" w:ascii="宋体" w:hAnsi="宋体" w:eastAsia="宋体"/>
                <w:kern w:val="0"/>
                <w:szCs w:val="21"/>
                <w:lang w:val="en-US" w:eastAsia="zh-CN"/>
              </w:rPr>
            </w:pPr>
            <w:r>
              <w:rPr>
                <w:rFonts w:hint="eastAsia" w:ascii="宋体" w:hAnsi="宋体"/>
                <w:kern w:val="0"/>
                <w:szCs w:val="21"/>
                <w:lang w:val="en-US" w:eastAsia="zh-CN"/>
              </w:rPr>
              <w:t>11</w:t>
            </w:r>
          </w:p>
        </w:tc>
        <w:tc>
          <w:tcPr>
            <w:tcW w:w="2698" w:type="dxa"/>
            <w:tcBorders>
              <w:top w:val="single" w:color="auto" w:sz="4" w:space="0"/>
              <w:left w:val="single" w:color="auto" w:sz="4" w:space="0"/>
              <w:bottom w:val="single" w:color="auto" w:sz="4" w:space="0"/>
              <w:right w:val="single" w:color="auto" w:sz="4" w:space="0"/>
            </w:tcBorders>
            <w:vAlign w:val="center"/>
          </w:tcPr>
          <w:p w14:paraId="07663BF7">
            <w:pPr>
              <w:jc w:val="left"/>
              <w:rPr>
                <w:rFonts w:ascii="宋体" w:hAnsi="宋体"/>
                <w:kern w:val="0"/>
                <w:szCs w:val="21"/>
              </w:rPr>
            </w:pPr>
            <w:r>
              <w:rPr>
                <w:rFonts w:hint="eastAsia" w:ascii="宋体" w:hAnsi="宋体"/>
                <w:kern w:val="0"/>
                <w:szCs w:val="21"/>
              </w:rPr>
              <w:t>广州港南沙港区三期工程半自动化堆场二期工程</w:t>
            </w:r>
          </w:p>
        </w:tc>
        <w:tc>
          <w:tcPr>
            <w:tcW w:w="5950" w:type="dxa"/>
            <w:tcBorders>
              <w:top w:val="single" w:color="auto" w:sz="4" w:space="0"/>
              <w:left w:val="single" w:color="auto" w:sz="4" w:space="0"/>
              <w:bottom w:val="single" w:color="auto" w:sz="4" w:space="0"/>
              <w:right w:val="single" w:color="auto" w:sz="4" w:space="0"/>
            </w:tcBorders>
            <w:vAlign w:val="center"/>
          </w:tcPr>
          <w:p w14:paraId="14BEE501">
            <w:pPr>
              <w:jc w:val="left"/>
              <w:rPr>
                <w:rFonts w:ascii="宋体" w:hAnsi="宋体"/>
                <w:kern w:val="0"/>
                <w:szCs w:val="21"/>
              </w:rPr>
            </w:pPr>
            <w:r>
              <w:rPr>
                <w:rFonts w:hint="eastAsia" w:ascii="宋体" w:hAnsi="宋体"/>
                <w:kern w:val="0"/>
                <w:szCs w:val="21"/>
              </w:rPr>
              <w:t>建设重箱堆场和空箱堆场各一块：重箱堆场面积6.02万m</w:t>
            </w:r>
            <w:r>
              <w:rPr>
                <w:rFonts w:ascii="宋体" w:hAnsi="宋体"/>
                <w:kern w:val="0"/>
                <w:szCs w:val="21"/>
              </w:rPr>
              <w:t>²</w:t>
            </w:r>
            <w:r>
              <w:rPr>
                <w:rFonts w:hint="eastAsia" w:ascii="宋体" w:hAnsi="宋体"/>
                <w:kern w:val="0"/>
                <w:szCs w:val="21"/>
              </w:rPr>
              <w:t>，配置6台重箱轨道吊；空箱堆场面积5.07万m</w:t>
            </w:r>
            <w:r>
              <w:rPr>
                <w:rFonts w:ascii="宋体" w:hAnsi="宋体"/>
                <w:kern w:val="0"/>
                <w:szCs w:val="21"/>
              </w:rPr>
              <w:t>²</w:t>
            </w:r>
            <w:r>
              <w:rPr>
                <w:rFonts w:hint="eastAsia" w:ascii="宋体" w:hAnsi="宋体"/>
                <w:kern w:val="0"/>
                <w:szCs w:val="21"/>
              </w:rPr>
              <w:t>，配置5台空箱轨道吊；配套建设供电、照明、给排水、消防、通讯工程等配套设施。</w:t>
            </w:r>
          </w:p>
        </w:tc>
        <w:tc>
          <w:tcPr>
            <w:tcW w:w="2577" w:type="dxa"/>
            <w:tcBorders>
              <w:top w:val="single" w:color="auto" w:sz="4" w:space="0"/>
              <w:left w:val="single" w:color="auto" w:sz="4" w:space="0"/>
              <w:bottom w:val="single" w:color="auto" w:sz="4" w:space="0"/>
              <w:right w:val="single" w:color="auto" w:sz="4" w:space="0"/>
            </w:tcBorders>
            <w:vAlign w:val="center"/>
          </w:tcPr>
          <w:p w14:paraId="3A4C76FC">
            <w:pPr>
              <w:jc w:val="center"/>
              <w:rPr>
                <w:rFonts w:ascii="宋体" w:hAnsi="宋体"/>
                <w:kern w:val="0"/>
                <w:szCs w:val="21"/>
              </w:rPr>
            </w:pPr>
            <w:r>
              <w:rPr>
                <w:rFonts w:hint="eastAsia" w:ascii="宋体" w:hAnsi="宋体"/>
                <w:kern w:val="0"/>
                <w:szCs w:val="21"/>
              </w:rPr>
              <w:t>广州港集团</w:t>
            </w:r>
          </w:p>
        </w:tc>
      </w:tr>
      <w:tr w14:paraId="23CD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1E28372A">
            <w:pPr>
              <w:jc w:val="center"/>
              <w:rPr>
                <w:rFonts w:hint="default" w:ascii="宋体" w:hAnsi="宋体" w:eastAsia="宋体"/>
                <w:kern w:val="0"/>
                <w:szCs w:val="21"/>
                <w:lang w:val="en-US" w:eastAsia="zh-CN"/>
              </w:rPr>
            </w:pPr>
            <w:r>
              <w:rPr>
                <w:rFonts w:hint="eastAsia" w:ascii="宋体" w:hAnsi="宋体"/>
                <w:kern w:val="0"/>
                <w:szCs w:val="21"/>
                <w:lang w:val="en-US" w:eastAsia="zh-CN"/>
              </w:rPr>
              <w:t>12</w:t>
            </w:r>
          </w:p>
        </w:tc>
        <w:tc>
          <w:tcPr>
            <w:tcW w:w="2698" w:type="dxa"/>
            <w:tcBorders>
              <w:top w:val="single" w:color="auto" w:sz="4" w:space="0"/>
              <w:left w:val="single" w:color="auto" w:sz="4" w:space="0"/>
              <w:bottom w:val="single" w:color="auto" w:sz="4" w:space="0"/>
              <w:right w:val="single" w:color="auto" w:sz="4" w:space="0"/>
            </w:tcBorders>
            <w:vAlign w:val="center"/>
          </w:tcPr>
          <w:p w14:paraId="21C9C635">
            <w:pPr>
              <w:jc w:val="left"/>
              <w:rPr>
                <w:rFonts w:hint="eastAsia" w:ascii="宋体" w:hAnsi="宋体"/>
                <w:kern w:val="0"/>
                <w:szCs w:val="21"/>
              </w:rPr>
            </w:pPr>
            <w:r>
              <w:rPr>
                <w:rFonts w:hint="eastAsia" w:ascii="宋体" w:hAnsi="宋体"/>
                <w:kern w:val="0"/>
                <w:szCs w:val="21"/>
              </w:rPr>
              <w:t>广州港20万吨级航道工程</w:t>
            </w:r>
          </w:p>
        </w:tc>
        <w:tc>
          <w:tcPr>
            <w:tcW w:w="5950" w:type="dxa"/>
            <w:tcBorders>
              <w:top w:val="single" w:color="auto" w:sz="4" w:space="0"/>
              <w:left w:val="single" w:color="auto" w:sz="4" w:space="0"/>
              <w:bottom w:val="single" w:color="auto" w:sz="4" w:space="0"/>
              <w:right w:val="single" w:color="auto" w:sz="4" w:space="0"/>
            </w:tcBorders>
            <w:vAlign w:val="center"/>
          </w:tcPr>
          <w:p w14:paraId="4B7D870E">
            <w:pPr>
              <w:jc w:val="left"/>
              <w:rPr>
                <w:rFonts w:hint="eastAsia" w:ascii="宋体" w:hAnsi="宋体"/>
                <w:kern w:val="0"/>
                <w:szCs w:val="21"/>
              </w:rPr>
            </w:pPr>
            <w:r>
              <w:rPr>
                <w:rFonts w:hint="eastAsia" w:ascii="宋体" w:hAnsi="宋体"/>
                <w:kern w:val="0"/>
                <w:szCs w:val="21"/>
              </w:rPr>
              <w:t>拟按满足20 万吨级集装箱船（不满载）和15 万吨级集装箱船（不满载）相向通航要求的标准建设，航道全长约66.6</w:t>
            </w:r>
            <w:r>
              <w:rPr>
                <w:rFonts w:ascii="宋体" w:hAnsi="宋体"/>
                <w:kern w:val="0"/>
                <w:szCs w:val="21"/>
              </w:rPr>
              <w:t>公里</w:t>
            </w:r>
            <w:r>
              <w:rPr>
                <w:rFonts w:hint="eastAsia" w:ascii="宋体" w:hAnsi="宋体"/>
                <w:kern w:val="0"/>
                <w:szCs w:val="21"/>
              </w:rPr>
              <w:t>，包括：口门航道、大濠水道分道通航区、大濠航道、伶仃航道（G 点以南航段）。</w:t>
            </w:r>
          </w:p>
        </w:tc>
        <w:tc>
          <w:tcPr>
            <w:tcW w:w="2577" w:type="dxa"/>
            <w:tcBorders>
              <w:top w:val="single" w:color="auto" w:sz="4" w:space="0"/>
              <w:left w:val="single" w:color="auto" w:sz="4" w:space="0"/>
              <w:bottom w:val="single" w:color="auto" w:sz="4" w:space="0"/>
              <w:right w:val="single" w:color="auto" w:sz="4" w:space="0"/>
            </w:tcBorders>
            <w:vAlign w:val="center"/>
          </w:tcPr>
          <w:p w14:paraId="09E4C153">
            <w:pPr>
              <w:jc w:val="center"/>
              <w:rPr>
                <w:rFonts w:hint="eastAsia" w:ascii="宋体" w:hAnsi="宋体"/>
                <w:kern w:val="0"/>
                <w:szCs w:val="21"/>
              </w:rPr>
            </w:pPr>
            <w:r>
              <w:rPr>
                <w:rFonts w:hint="eastAsia" w:ascii="宋体" w:hAnsi="宋体"/>
                <w:kern w:val="0"/>
                <w:szCs w:val="21"/>
              </w:rPr>
              <w:t>广州市港务局</w:t>
            </w:r>
          </w:p>
        </w:tc>
      </w:tr>
      <w:tr w14:paraId="4C4B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1248" w:type="dxa"/>
            <w:tcBorders>
              <w:top w:val="single" w:color="auto" w:sz="4" w:space="0"/>
              <w:left w:val="single" w:color="auto" w:sz="4" w:space="0"/>
              <w:bottom w:val="single" w:color="auto" w:sz="4" w:space="0"/>
              <w:right w:val="single" w:color="auto" w:sz="4" w:space="0"/>
            </w:tcBorders>
            <w:vAlign w:val="center"/>
          </w:tcPr>
          <w:p w14:paraId="58E8293F">
            <w:pPr>
              <w:jc w:val="center"/>
              <w:rPr>
                <w:rFonts w:hint="default" w:ascii="宋体" w:hAnsi="宋体" w:eastAsia="宋体"/>
                <w:kern w:val="0"/>
                <w:szCs w:val="21"/>
                <w:lang w:val="en-US" w:eastAsia="zh-CN"/>
              </w:rPr>
            </w:pPr>
            <w:r>
              <w:rPr>
                <w:rFonts w:hint="eastAsia" w:ascii="宋体" w:hAnsi="宋体"/>
                <w:kern w:val="0"/>
                <w:szCs w:val="21"/>
                <w:lang w:val="en-US" w:eastAsia="zh-CN"/>
              </w:rPr>
              <w:t>13</w:t>
            </w:r>
          </w:p>
        </w:tc>
        <w:tc>
          <w:tcPr>
            <w:tcW w:w="2698" w:type="dxa"/>
            <w:tcBorders>
              <w:top w:val="single" w:color="auto" w:sz="4" w:space="0"/>
              <w:left w:val="single" w:color="auto" w:sz="4" w:space="0"/>
              <w:bottom w:val="single" w:color="auto" w:sz="4" w:space="0"/>
              <w:right w:val="single" w:color="auto" w:sz="4" w:space="0"/>
            </w:tcBorders>
            <w:vAlign w:val="center"/>
          </w:tcPr>
          <w:p w14:paraId="78EAE7FE">
            <w:pPr>
              <w:jc w:val="left"/>
              <w:rPr>
                <w:rFonts w:hint="eastAsia" w:ascii="宋体" w:hAnsi="宋体"/>
                <w:kern w:val="0"/>
                <w:szCs w:val="21"/>
              </w:rPr>
            </w:pPr>
            <w:r>
              <w:rPr>
                <w:rFonts w:hint="eastAsia" w:ascii="宋体" w:hAnsi="宋体"/>
                <w:kern w:val="0"/>
                <w:szCs w:val="21"/>
              </w:rPr>
              <w:t>南沙港区国际通用码头工程</w:t>
            </w:r>
          </w:p>
        </w:tc>
        <w:tc>
          <w:tcPr>
            <w:tcW w:w="5950" w:type="dxa"/>
            <w:tcBorders>
              <w:top w:val="single" w:color="auto" w:sz="4" w:space="0"/>
              <w:left w:val="single" w:color="auto" w:sz="4" w:space="0"/>
              <w:bottom w:val="single" w:color="auto" w:sz="4" w:space="0"/>
              <w:right w:val="single" w:color="auto" w:sz="4" w:space="0"/>
            </w:tcBorders>
            <w:vAlign w:val="center"/>
          </w:tcPr>
          <w:p w14:paraId="4B642410">
            <w:pPr>
              <w:jc w:val="left"/>
              <w:rPr>
                <w:rFonts w:hint="eastAsia" w:ascii="宋体" w:hAnsi="宋体"/>
                <w:kern w:val="0"/>
                <w:szCs w:val="21"/>
              </w:rPr>
            </w:pPr>
            <w:r>
              <w:rPr>
                <w:rFonts w:hint="eastAsia" w:ascii="宋体" w:hAnsi="宋体"/>
                <w:kern w:val="0"/>
                <w:szCs w:val="21"/>
              </w:rPr>
              <w:t>建设2个10万吨级通用泊位和2个15万吨级通用泊位、8个3000吨级通用驳船泊位、6个3000吨级集装箱驳船泊位，设计通过能力通用散杂货1552万吨/年，集装箱52万TEU/年。</w:t>
            </w:r>
          </w:p>
        </w:tc>
        <w:tc>
          <w:tcPr>
            <w:tcW w:w="2577" w:type="dxa"/>
            <w:tcBorders>
              <w:top w:val="single" w:color="auto" w:sz="4" w:space="0"/>
              <w:left w:val="single" w:color="auto" w:sz="4" w:space="0"/>
              <w:bottom w:val="single" w:color="auto" w:sz="4" w:space="0"/>
              <w:right w:val="single" w:color="auto" w:sz="4" w:space="0"/>
            </w:tcBorders>
            <w:vAlign w:val="center"/>
          </w:tcPr>
          <w:p w14:paraId="107A27B0">
            <w:pPr>
              <w:jc w:val="center"/>
              <w:rPr>
                <w:rFonts w:hint="eastAsia" w:ascii="宋体" w:hAnsi="宋体"/>
                <w:kern w:val="0"/>
                <w:szCs w:val="21"/>
              </w:rPr>
            </w:pPr>
            <w:r>
              <w:rPr>
                <w:rFonts w:hint="eastAsia" w:ascii="宋体" w:hAnsi="宋体"/>
                <w:kern w:val="0"/>
                <w:szCs w:val="21"/>
              </w:rPr>
              <w:t>广州港集团</w:t>
            </w:r>
          </w:p>
        </w:tc>
      </w:tr>
      <w:tr w14:paraId="3690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48" w:type="dxa"/>
            <w:vAlign w:val="center"/>
          </w:tcPr>
          <w:p w14:paraId="44FE9FD1">
            <w:pPr>
              <w:jc w:val="center"/>
              <w:rPr>
                <w:rFonts w:hint="default" w:ascii="宋体" w:hAnsi="宋体" w:eastAsia="宋体"/>
                <w:kern w:val="0"/>
                <w:szCs w:val="21"/>
                <w:lang w:val="en-US" w:eastAsia="zh-CN"/>
              </w:rPr>
            </w:pPr>
            <w:r>
              <w:rPr>
                <w:rFonts w:hint="eastAsia" w:ascii="宋体" w:hAnsi="宋体"/>
                <w:kern w:val="0"/>
                <w:szCs w:val="21"/>
                <w:lang w:val="en-US" w:eastAsia="zh-CN"/>
              </w:rPr>
              <w:t>14</w:t>
            </w:r>
          </w:p>
        </w:tc>
        <w:tc>
          <w:tcPr>
            <w:tcW w:w="2698" w:type="dxa"/>
            <w:vAlign w:val="center"/>
          </w:tcPr>
          <w:p w14:paraId="00F863F1">
            <w:pPr>
              <w:jc w:val="left"/>
              <w:rPr>
                <w:rFonts w:hint="eastAsia" w:ascii="宋体" w:hAnsi="宋体"/>
                <w:kern w:val="0"/>
                <w:szCs w:val="21"/>
              </w:rPr>
            </w:pPr>
            <w:r>
              <w:rPr>
                <w:rFonts w:hint="eastAsia" w:ascii="宋体" w:hAnsi="宋体"/>
                <w:kern w:val="0"/>
                <w:szCs w:val="21"/>
              </w:rPr>
              <w:t>南沙港区五期工程</w:t>
            </w:r>
          </w:p>
        </w:tc>
        <w:tc>
          <w:tcPr>
            <w:tcW w:w="5950" w:type="dxa"/>
            <w:vAlign w:val="center"/>
          </w:tcPr>
          <w:p w14:paraId="55A6ED7A">
            <w:pPr>
              <w:jc w:val="left"/>
              <w:rPr>
                <w:rFonts w:hint="eastAsia" w:ascii="宋体" w:hAnsi="宋体"/>
                <w:kern w:val="0"/>
                <w:szCs w:val="21"/>
              </w:rPr>
            </w:pPr>
            <w:r>
              <w:rPr>
                <w:rFonts w:hint="eastAsia" w:ascii="宋体" w:hAnsi="宋体"/>
                <w:kern w:val="0"/>
                <w:szCs w:val="21"/>
              </w:rPr>
              <w:t>建设4个20万吨级集装箱泊位和配套驳船泊位。</w:t>
            </w:r>
          </w:p>
        </w:tc>
        <w:tc>
          <w:tcPr>
            <w:tcW w:w="2577" w:type="dxa"/>
            <w:vAlign w:val="center"/>
          </w:tcPr>
          <w:p w14:paraId="48136019">
            <w:pPr>
              <w:jc w:val="center"/>
              <w:rPr>
                <w:rFonts w:hint="eastAsia" w:ascii="宋体" w:hAnsi="宋体"/>
                <w:kern w:val="0"/>
                <w:szCs w:val="21"/>
              </w:rPr>
            </w:pPr>
            <w:r>
              <w:rPr>
                <w:rFonts w:hint="eastAsia" w:ascii="宋体" w:hAnsi="宋体"/>
                <w:kern w:val="0"/>
                <w:szCs w:val="21"/>
              </w:rPr>
              <w:t>广州港集团</w:t>
            </w:r>
          </w:p>
        </w:tc>
      </w:tr>
      <w:tr w14:paraId="6BF7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1248" w:type="dxa"/>
            <w:vAlign w:val="center"/>
          </w:tcPr>
          <w:p w14:paraId="1256F330">
            <w:pPr>
              <w:jc w:val="center"/>
              <w:rPr>
                <w:rFonts w:hint="default" w:ascii="宋体" w:hAnsi="宋体" w:eastAsia="宋体"/>
                <w:kern w:val="0"/>
                <w:szCs w:val="21"/>
                <w:lang w:val="en-US" w:eastAsia="zh-CN"/>
              </w:rPr>
            </w:pPr>
            <w:r>
              <w:rPr>
                <w:rFonts w:hint="eastAsia" w:ascii="宋体" w:hAnsi="宋体"/>
                <w:kern w:val="0"/>
                <w:szCs w:val="21"/>
                <w:lang w:val="en-US" w:eastAsia="zh-CN"/>
              </w:rPr>
              <w:t>15</w:t>
            </w:r>
          </w:p>
        </w:tc>
        <w:tc>
          <w:tcPr>
            <w:tcW w:w="2698" w:type="dxa"/>
            <w:vAlign w:val="center"/>
          </w:tcPr>
          <w:p w14:paraId="7BB42CD5">
            <w:pPr>
              <w:jc w:val="left"/>
              <w:rPr>
                <w:rFonts w:hint="eastAsia" w:ascii="宋体" w:hAnsi="宋体"/>
                <w:kern w:val="0"/>
                <w:szCs w:val="21"/>
              </w:rPr>
            </w:pPr>
            <w:r>
              <w:rPr>
                <w:rFonts w:hint="eastAsia" w:ascii="宋体" w:hAnsi="宋体"/>
                <w:kern w:val="0"/>
                <w:szCs w:val="21"/>
              </w:rPr>
              <w:t>南沙港区国际海铁联运码头工程</w:t>
            </w:r>
          </w:p>
        </w:tc>
        <w:tc>
          <w:tcPr>
            <w:tcW w:w="5950" w:type="dxa"/>
            <w:vAlign w:val="center"/>
          </w:tcPr>
          <w:p w14:paraId="58F1FEA5">
            <w:pPr>
              <w:jc w:val="left"/>
              <w:rPr>
                <w:rFonts w:hint="eastAsia" w:ascii="宋体" w:hAnsi="宋体"/>
                <w:kern w:val="0"/>
                <w:szCs w:val="21"/>
              </w:rPr>
            </w:pPr>
            <w:r>
              <w:rPr>
                <w:rFonts w:hint="eastAsia" w:ascii="宋体" w:hAnsi="宋体"/>
                <w:kern w:val="0"/>
                <w:szCs w:val="21"/>
              </w:rPr>
              <w:t>5个10万吨级集装箱泊位和1个2万吨级集装箱泊位，</w:t>
            </w:r>
          </w:p>
        </w:tc>
        <w:tc>
          <w:tcPr>
            <w:tcW w:w="2577" w:type="dxa"/>
            <w:vAlign w:val="center"/>
          </w:tcPr>
          <w:p w14:paraId="133EED7D">
            <w:pPr>
              <w:jc w:val="center"/>
              <w:rPr>
                <w:rFonts w:hint="eastAsia" w:ascii="宋体" w:hAnsi="宋体"/>
                <w:kern w:val="0"/>
                <w:szCs w:val="21"/>
              </w:rPr>
            </w:pPr>
            <w:r>
              <w:rPr>
                <w:rFonts w:hint="eastAsia" w:ascii="宋体" w:hAnsi="宋体"/>
                <w:kern w:val="0"/>
                <w:szCs w:val="21"/>
              </w:rPr>
              <w:t>广州港集团</w:t>
            </w:r>
          </w:p>
        </w:tc>
      </w:tr>
      <w:tr w14:paraId="0C22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1248" w:type="dxa"/>
            <w:vAlign w:val="center"/>
          </w:tcPr>
          <w:p w14:paraId="4D214E14">
            <w:pPr>
              <w:jc w:val="center"/>
              <w:rPr>
                <w:rFonts w:hint="default" w:ascii="宋体" w:hAnsi="宋体" w:eastAsia="宋体"/>
                <w:kern w:val="0"/>
                <w:szCs w:val="21"/>
                <w:lang w:val="en-US" w:eastAsia="zh-CN"/>
              </w:rPr>
            </w:pPr>
            <w:r>
              <w:rPr>
                <w:rFonts w:hint="eastAsia" w:ascii="宋体" w:hAnsi="宋体"/>
                <w:kern w:val="0"/>
                <w:szCs w:val="21"/>
                <w:lang w:val="en-US" w:eastAsia="zh-CN"/>
              </w:rPr>
              <w:t>16</w:t>
            </w:r>
          </w:p>
        </w:tc>
        <w:tc>
          <w:tcPr>
            <w:tcW w:w="2698" w:type="dxa"/>
            <w:vAlign w:val="center"/>
          </w:tcPr>
          <w:p w14:paraId="24B18009">
            <w:pPr>
              <w:jc w:val="left"/>
              <w:rPr>
                <w:rFonts w:hint="eastAsia" w:ascii="宋体" w:hAnsi="宋体"/>
                <w:kern w:val="0"/>
                <w:szCs w:val="21"/>
              </w:rPr>
            </w:pPr>
            <w:r>
              <w:rPr>
                <w:rFonts w:hint="eastAsia" w:ascii="宋体" w:hAnsi="宋体"/>
                <w:kern w:val="0"/>
                <w:szCs w:val="21"/>
              </w:rPr>
              <w:t>黄埔国际邮轮城项目</w:t>
            </w:r>
          </w:p>
        </w:tc>
        <w:tc>
          <w:tcPr>
            <w:tcW w:w="5950" w:type="dxa"/>
            <w:vAlign w:val="center"/>
          </w:tcPr>
          <w:p w14:paraId="5EF862ED">
            <w:pPr>
              <w:jc w:val="left"/>
              <w:rPr>
                <w:rFonts w:hint="eastAsia" w:ascii="宋体" w:hAnsi="宋体"/>
                <w:kern w:val="0"/>
                <w:szCs w:val="21"/>
              </w:rPr>
            </w:pPr>
            <w:r>
              <w:rPr>
                <w:rFonts w:ascii="宋体" w:hAnsi="宋体"/>
                <w:kern w:val="0"/>
                <w:szCs w:val="21"/>
              </w:rPr>
              <w:t>规划建设1个8万吨邮轮泊位、1个3万吨客运泊位及其他客滚、水巴、游艇等泊位。</w:t>
            </w:r>
          </w:p>
        </w:tc>
        <w:tc>
          <w:tcPr>
            <w:tcW w:w="2577" w:type="dxa"/>
            <w:vAlign w:val="center"/>
          </w:tcPr>
          <w:p w14:paraId="31447A69">
            <w:pPr>
              <w:jc w:val="center"/>
              <w:rPr>
                <w:rFonts w:hint="eastAsia" w:ascii="宋体" w:hAnsi="宋体"/>
                <w:kern w:val="0"/>
                <w:szCs w:val="21"/>
              </w:rPr>
            </w:pPr>
            <w:r>
              <w:rPr>
                <w:rFonts w:hint="eastAsia" w:ascii="宋体" w:hAnsi="宋体"/>
                <w:kern w:val="0"/>
                <w:szCs w:val="21"/>
              </w:rPr>
              <w:t>黄埔区</w:t>
            </w:r>
          </w:p>
        </w:tc>
      </w:tr>
    </w:tbl>
    <w:p w14:paraId="61A611DC">
      <w:pPr>
        <w:adjustRightInd w:val="0"/>
        <w:snapToGrid w:val="0"/>
        <w:spacing w:line="580" w:lineRule="exact"/>
        <w:jc w:val="both"/>
        <w:rPr>
          <w:rFonts w:ascii="仿宋" w:hAnsi="仿宋" w:eastAsia="仿宋"/>
          <w:spacing w:val="12"/>
          <w:sz w:val="28"/>
          <w:szCs w:val="28"/>
        </w:rPr>
      </w:pPr>
    </w:p>
    <w:p w14:paraId="38FAEE52">
      <w:pPr>
        <w:adjustRightInd w:val="0"/>
        <w:snapToGrid w:val="0"/>
        <w:spacing w:line="580" w:lineRule="exact"/>
        <w:jc w:val="center"/>
        <w:rPr>
          <w:rFonts w:ascii="仿宋" w:hAnsi="仿宋" w:eastAsia="仿宋"/>
          <w:spacing w:val="12"/>
          <w:sz w:val="28"/>
          <w:szCs w:val="28"/>
        </w:rPr>
      </w:pPr>
    </w:p>
    <w:p w14:paraId="78FC2F4E">
      <w:pPr>
        <w:adjustRightInd w:val="0"/>
        <w:snapToGrid w:val="0"/>
        <w:spacing w:line="580" w:lineRule="exact"/>
        <w:jc w:val="center"/>
        <w:rPr>
          <w:rFonts w:ascii="仿宋" w:hAnsi="仿宋" w:eastAsia="仿宋"/>
          <w:spacing w:val="12"/>
          <w:sz w:val="28"/>
          <w:szCs w:val="28"/>
        </w:rPr>
      </w:pPr>
    </w:p>
    <w:sectPr>
      <w:footerReference r:id="rId4" w:type="default"/>
      <w:footerReference r:id="rId5" w:type="even"/>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28532">
    <w:pPr>
      <w:pStyle w:val="2"/>
      <w:jc w:val="right"/>
    </w:pPr>
    <w:r>
      <w:rPr>
        <w:rFonts w:hint="eastAsia" w:ascii="仿宋_GB2312" w:eastAsia="仿宋_GB2312"/>
        <w:sz w:val="28"/>
      </w:rPr>
      <w:t>—</w:t>
    </w:r>
    <w:r>
      <w:rPr>
        <w:rFonts w:hint="eastAsia" w:ascii="仿宋_GB2312" w:eastAsia="仿宋_GB2312"/>
        <w:sz w:val="28"/>
      </w:rPr>
      <w:fldChar w:fldCharType="begin"/>
    </w:r>
    <w:r>
      <w:rPr>
        <w:rFonts w:hint="eastAsia" w:ascii="仿宋_GB2312" w:eastAsia="仿宋_GB2312"/>
        <w:sz w:val="28"/>
      </w:rPr>
      <w:instrText xml:space="preserve">PAGE   \* MERGEFORMAT</w:instrText>
    </w:r>
    <w:r>
      <w:rPr>
        <w:rFonts w:hint="eastAsia" w:ascii="仿宋_GB2312" w:eastAsia="仿宋_GB2312"/>
        <w:sz w:val="28"/>
      </w:rPr>
      <w:fldChar w:fldCharType="separate"/>
    </w:r>
    <w:r>
      <w:rPr>
        <w:rFonts w:ascii="仿宋_GB2312" w:eastAsia="仿宋_GB2312"/>
        <w:sz w:val="28"/>
        <w:lang w:val="zh-CN"/>
      </w:rPr>
      <w:t>19</w:t>
    </w:r>
    <w:r>
      <w:rPr>
        <w:rFonts w:hint="eastAsia" w:ascii="仿宋_GB2312" w:eastAsia="仿宋_GB2312"/>
        <w:sz w:val="28"/>
      </w:rPr>
      <w:fldChar w:fldCharType="end"/>
    </w:r>
    <w:r>
      <w:rPr>
        <w:rFonts w:hint="eastAsia" w:ascii="仿宋_GB2312" w:eastAsia="仿宋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3795B">
    <w:pPr>
      <w:snapToGrid w:val="0"/>
      <w:jc w:val="right"/>
      <w:rPr>
        <w:sz w:val="18"/>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21</w:t>
    </w:r>
    <w:r>
      <w:rPr>
        <w:rFonts w:hint="eastAsia" w:ascii="宋体" w:hAnsi="宋体" w:cs="宋体"/>
        <w:sz w:val="28"/>
        <w:szCs w:val="44"/>
      </w:rPr>
      <w:fldChar w:fldCharType="end"/>
    </w:r>
    <w:r>
      <w:rPr>
        <w:rFonts w:hint="eastAsia" w:ascii="宋体" w:hAnsi="宋体" w:cs="宋体"/>
        <w:sz w:val="28"/>
        <w:szCs w:val="44"/>
      </w:rPr>
      <w:t xml:space="preserve"> —</w:t>
    </w:r>
  </w:p>
  <w:p w14:paraId="6370468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9083">
    <w:pPr>
      <w:pStyle w:val="2"/>
      <w:rPr>
        <w:rStyle w:val="8"/>
      </w:rPr>
    </w:pPr>
    <w:r>
      <w:rPr>
        <w:rStyle w:val="8"/>
        <w:bCs/>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8"/>
        <w:sz w:val="28"/>
        <w:szCs w:val="28"/>
      </w:rPr>
      <w:t>—</w:t>
    </w:r>
  </w:p>
  <w:p w14:paraId="0D26AFF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Dc4MjlkMzBmNGRlYjdhOWY3YTcxMjBjZjZhMWEifQ=="/>
  </w:docVars>
  <w:rsids>
    <w:rsidRoot w:val="00FE16B9"/>
    <w:rsid w:val="00000AE5"/>
    <w:rsid w:val="00020A3D"/>
    <w:rsid w:val="00022BE3"/>
    <w:rsid w:val="00023454"/>
    <w:rsid w:val="000311DB"/>
    <w:rsid w:val="00041048"/>
    <w:rsid w:val="000430F1"/>
    <w:rsid w:val="00054A09"/>
    <w:rsid w:val="0006428E"/>
    <w:rsid w:val="00067FD4"/>
    <w:rsid w:val="000747CD"/>
    <w:rsid w:val="00076DFD"/>
    <w:rsid w:val="00095402"/>
    <w:rsid w:val="000B2ABB"/>
    <w:rsid w:val="000C6EB4"/>
    <w:rsid w:val="000D605A"/>
    <w:rsid w:val="000F1D36"/>
    <w:rsid w:val="00105804"/>
    <w:rsid w:val="00115652"/>
    <w:rsid w:val="00116E9D"/>
    <w:rsid w:val="00124A22"/>
    <w:rsid w:val="0012745D"/>
    <w:rsid w:val="0013525A"/>
    <w:rsid w:val="001533C1"/>
    <w:rsid w:val="0016187C"/>
    <w:rsid w:val="00166AE2"/>
    <w:rsid w:val="001771FD"/>
    <w:rsid w:val="00186275"/>
    <w:rsid w:val="0018784A"/>
    <w:rsid w:val="00190A26"/>
    <w:rsid w:val="001952D6"/>
    <w:rsid w:val="001A1A23"/>
    <w:rsid w:val="001A1E9C"/>
    <w:rsid w:val="001A61B1"/>
    <w:rsid w:val="001B608D"/>
    <w:rsid w:val="001B6E19"/>
    <w:rsid w:val="001E01B9"/>
    <w:rsid w:val="00245C85"/>
    <w:rsid w:val="00256E56"/>
    <w:rsid w:val="002743D0"/>
    <w:rsid w:val="0027582D"/>
    <w:rsid w:val="00282C5F"/>
    <w:rsid w:val="00290AEF"/>
    <w:rsid w:val="002A73DF"/>
    <w:rsid w:val="002B0EA3"/>
    <w:rsid w:val="002F29EF"/>
    <w:rsid w:val="00300F18"/>
    <w:rsid w:val="00307647"/>
    <w:rsid w:val="0031631C"/>
    <w:rsid w:val="00330734"/>
    <w:rsid w:val="003611DF"/>
    <w:rsid w:val="00364E24"/>
    <w:rsid w:val="00372D41"/>
    <w:rsid w:val="003737F9"/>
    <w:rsid w:val="003844F2"/>
    <w:rsid w:val="00384B02"/>
    <w:rsid w:val="003B0DFD"/>
    <w:rsid w:val="003D1F24"/>
    <w:rsid w:val="003D7B39"/>
    <w:rsid w:val="003E069D"/>
    <w:rsid w:val="003E2A35"/>
    <w:rsid w:val="004156DA"/>
    <w:rsid w:val="0044023A"/>
    <w:rsid w:val="004415C4"/>
    <w:rsid w:val="00464268"/>
    <w:rsid w:val="004676C3"/>
    <w:rsid w:val="004743FF"/>
    <w:rsid w:val="00485225"/>
    <w:rsid w:val="00491C83"/>
    <w:rsid w:val="004A0DA8"/>
    <w:rsid w:val="004B27DB"/>
    <w:rsid w:val="004B447F"/>
    <w:rsid w:val="004C3733"/>
    <w:rsid w:val="004C5317"/>
    <w:rsid w:val="004C5D9C"/>
    <w:rsid w:val="00504626"/>
    <w:rsid w:val="00542724"/>
    <w:rsid w:val="0054679E"/>
    <w:rsid w:val="00560969"/>
    <w:rsid w:val="00565E11"/>
    <w:rsid w:val="00566A76"/>
    <w:rsid w:val="005902DA"/>
    <w:rsid w:val="00593762"/>
    <w:rsid w:val="005C2D8E"/>
    <w:rsid w:val="005C7336"/>
    <w:rsid w:val="005F0599"/>
    <w:rsid w:val="005F3008"/>
    <w:rsid w:val="00612699"/>
    <w:rsid w:val="00622056"/>
    <w:rsid w:val="00626ACA"/>
    <w:rsid w:val="00636054"/>
    <w:rsid w:val="00691D41"/>
    <w:rsid w:val="00693525"/>
    <w:rsid w:val="006D31D3"/>
    <w:rsid w:val="00711AB5"/>
    <w:rsid w:val="00713AB9"/>
    <w:rsid w:val="00723E3B"/>
    <w:rsid w:val="007316BA"/>
    <w:rsid w:val="00751F7E"/>
    <w:rsid w:val="00753722"/>
    <w:rsid w:val="007665C0"/>
    <w:rsid w:val="00776AEF"/>
    <w:rsid w:val="007840EE"/>
    <w:rsid w:val="007A336A"/>
    <w:rsid w:val="007F328B"/>
    <w:rsid w:val="00801094"/>
    <w:rsid w:val="00814392"/>
    <w:rsid w:val="00823C10"/>
    <w:rsid w:val="008277C7"/>
    <w:rsid w:val="00852CEF"/>
    <w:rsid w:val="00872C44"/>
    <w:rsid w:val="008947D3"/>
    <w:rsid w:val="008A2195"/>
    <w:rsid w:val="008B7B56"/>
    <w:rsid w:val="008C257C"/>
    <w:rsid w:val="008D747E"/>
    <w:rsid w:val="008E3DE0"/>
    <w:rsid w:val="008F0F48"/>
    <w:rsid w:val="00902A8B"/>
    <w:rsid w:val="009103F5"/>
    <w:rsid w:val="00927689"/>
    <w:rsid w:val="0094251F"/>
    <w:rsid w:val="009742C8"/>
    <w:rsid w:val="0098516A"/>
    <w:rsid w:val="00996317"/>
    <w:rsid w:val="009A0F6B"/>
    <w:rsid w:val="009C4EBB"/>
    <w:rsid w:val="009F0A5F"/>
    <w:rsid w:val="009F761C"/>
    <w:rsid w:val="00A04E11"/>
    <w:rsid w:val="00A07F5E"/>
    <w:rsid w:val="00A14143"/>
    <w:rsid w:val="00A234B6"/>
    <w:rsid w:val="00A24408"/>
    <w:rsid w:val="00A347C9"/>
    <w:rsid w:val="00A43B15"/>
    <w:rsid w:val="00A44FF3"/>
    <w:rsid w:val="00A6030D"/>
    <w:rsid w:val="00A6798A"/>
    <w:rsid w:val="00A749F1"/>
    <w:rsid w:val="00A943E1"/>
    <w:rsid w:val="00AA2FE9"/>
    <w:rsid w:val="00AA3845"/>
    <w:rsid w:val="00AC4776"/>
    <w:rsid w:val="00AC7FE2"/>
    <w:rsid w:val="00AD59EA"/>
    <w:rsid w:val="00AF6F2E"/>
    <w:rsid w:val="00B00746"/>
    <w:rsid w:val="00B07142"/>
    <w:rsid w:val="00B266C7"/>
    <w:rsid w:val="00B46949"/>
    <w:rsid w:val="00B474D4"/>
    <w:rsid w:val="00B5550C"/>
    <w:rsid w:val="00B57AF1"/>
    <w:rsid w:val="00B71ADE"/>
    <w:rsid w:val="00B72FAD"/>
    <w:rsid w:val="00B83DD9"/>
    <w:rsid w:val="00BD2B4D"/>
    <w:rsid w:val="00BE5867"/>
    <w:rsid w:val="00C0440C"/>
    <w:rsid w:val="00C2747A"/>
    <w:rsid w:val="00C31EA7"/>
    <w:rsid w:val="00C37EF5"/>
    <w:rsid w:val="00C712DA"/>
    <w:rsid w:val="00CA0AD8"/>
    <w:rsid w:val="00CF538F"/>
    <w:rsid w:val="00D01CD6"/>
    <w:rsid w:val="00D04E9D"/>
    <w:rsid w:val="00DA3A6F"/>
    <w:rsid w:val="00DA4027"/>
    <w:rsid w:val="00DB336C"/>
    <w:rsid w:val="00DC165A"/>
    <w:rsid w:val="00DD4B6A"/>
    <w:rsid w:val="00E0527E"/>
    <w:rsid w:val="00E31203"/>
    <w:rsid w:val="00E31A62"/>
    <w:rsid w:val="00E546D6"/>
    <w:rsid w:val="00E54FF7"/>
    <w:rsid w:val="00E70A03"/>
    <w:rsid w:val="00E94EF9"/>
    <w:rsid w:val="00ED0F4F"/>
    <w:rsid w:val="00ED6ED7"/>
    <w:rsid w:val="00EE04F7"/>
    <w:rsid w:val="00EE2620"/>
    <w:rsid w:val="00EF4995"/>
    <w:rsid w:val="00F16E16"/>
    <w:rsid w:val="00F21D1E"/>
    <w:rsid w:val="00F36A6B"/>
    <w:rsid w:val="00F40442"/>
    <w:rsid w:val="00F4288D"/>
    <w:rsid w:val="00F449EA"/>
    <w:rsid w:val="00F53501"/>
    <w:rsid w:val="00F5439B"/>
    <w:rsid w:val="00F547E7"/>
    <w:rsid w:val="00F6474B"/>
    <w:rsid w:val="00F651C4"/>
    <w:rsid w:val="00F710CF"/>
    <w:rsid w:val="00F737A5"/>
    <w:rsid w:val="00F83127"/>
    <w:rsid w:val="00FA21D8"/>
    <w:rsid w:val="00FA2ADC"/>
    <w:rsid w:val="00FB226E"/>
    <w:rsid w:val="00FB609F"/>
    <w:rsid w:val="00FB66DA"/>
    <w:rsid w:val="00FD2654"/>
    <w:rsid w:val="00FE16B9"/>
    <w:rsid w:val="00FF7D04"/>
    <w:rsid w:val="069271C2"/>
    <w:rsid w:val="1AB479F6"/>
    <w:rsid w:val="1CA12DD5"/>
    <w:rsid w:val="21246A2A"/>
    <w:rsid w:val="215A0118"/>
    <w:rsid w:val="302C2C2D"/>
    <w:rsid w:val="37876967"/>
    <w:rsid w:val="3C865D6F"/>
    <w:rsid w:val="4DBB1451"/>
    <w:rsid w:val="5FB24921"/>
    <w:rsid w:val="7212560B"/>
    <w:rsid w:val="7B4968B3"/>
    <w:rsid w:val="7D6B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oc 2"/>
    <w:basedOn w:val="1"/>
    <w:next w:val="1"/>
    <w:unhideWhenUsed/>
    <w:qFormat/>
    <w:uiPriority w:val="39"/>
    <w:pPr>
      <w:ind w:left="420" w:leftChars="2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11906</Words>
  <Characters>12216</Characters>
  <Lines>90</Lines>
  <Paragraphs>25</Paragraphs>
  <TotalTime>17</TotalTime>
  <ScaleCrop>false</ScaleCrop>
  <LinksUpToDate>false</LinksUpToDate>
  <CharactersWithSpaces>12423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2021-06-14T06:23:00Z</dcterms:created>
  <dc:creator>陈见梅</dc:creator>
  <cp:lastModifiedBy>DD</cp:lastModifiedBy>
  <cp:lastPrinted>2021-05-10T01:17:00Z</cp:lastPrinted>
  <dcterms:modified xsi:type="dcterms:W3CDTF">2024-08-16T09:48:31Z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87D4E613601C421DA9624DC30E477108_12</vt:lpwstr>
  </property>
</Properties>
</file>