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876"/>
        <w:gridCol w:w="1287"/>
        <w:gridCol w:w="1339"/>
        <w:gridCol w:w="1339"/>
        <w:gridCol w:w="1339"/>
        <w:gridCol w:w="1339"/>
        <w:gridCol w:w="1339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2022年度（2022年3月3日-2023年3月2日）广州港海铁联运奖励资金分配表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申请箱量（TEU）</w:t>
            </w:r>
          </w:p>
        </w:tc>
        <w:tc>
          <w:tcPr>
            <w:tcW w:w="10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核定箱量（TEU）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广州港铁国际物流有限公司</w:t>
            </w:r>
          </w:p>
        </w:tc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28,958 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25,267 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28,958 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24,829 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723.9500 </w:t>
            </w:r>
          </w:p>
        </w:tc>
        <w:tc>
          <w:tcPr>
            <w:tcW w:w="1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869.0150 </w:t>
            </w:r>
          </w:p>
        </w:tc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1,592.9650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广州港物流有限公司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6,720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49,517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6,714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49,184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167.8500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1,721.4400 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1,889.2900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广州市冠联物流服务有限公司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1,530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1,526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53.4100 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53.4100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五矿物流广东有限公司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16,371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16,371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572.9850 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572.9850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广州市云锦供应链管理有限公司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14.9250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广州骐鸿货运代理有限公司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23.3800 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36,335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93,353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36,269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92,578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906.7250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3,240.2300 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4,146.9550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铁路发站、到站均在省内的，每标准箱奖励250元（含重箱、空箱）；铁路发站或到站在省外的，每标准箱奖励350元（含重箱、空箱）。考核年度内，托运人、收货人通过广州港码头装卸并经南沙港、南沙港南、黄埔、下元等任一铁路站点集疏运集装箱，且重箱量不少于300标准箱。同一铁路货物运单仅奖励托运人或收货人其中一方；铁路发、到站均在广州市内的不予奖励。</w:t>
      </w:r>
    </w:p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MTEyZmUwZjY4YzhjYTE4YjMxNDgzZGUxYjM3OGUifQ=="/>
    <w:docVar w:name="KSO_WPS_MARK_KEY" w:val="758b67c1-9d5d-4803-961d-82db4754d205"/>
  </w:docVars>
  <w:rsids>
    <w:rsidRoot w:val="73242947"/>
    <w:rsid w:val="18361500"/>
    <w:rsid w:val="2D006885"/>
    <w:rsid w:val="6E342445"/>
    <w:rsid w:val="73242947"/>
    <w:rsid w:val="79C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520</Characters>
  <Lines>0</Lines>
  <Paragraphs>0</Paragraphs>
  <TotalTime>0</TotalTime>
  <ScaleCrop>false</ScaleCrop>
  <LinksUpToDate>false</LinksUpToDate>
  <CharactersWithSpaces>562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2023-07-25T01:46:00Z</dcterms:created>
  <dc:creator>alan</dc:creator>
  <cp:lastModifiedBy>龚海文</cp:lastModifiedBy>
  <dcterms:modified xsi:type="dcterms:W3CDTF">2024-12-11T07:32:29Z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3EE0F89F5FB34718811852497F56F701</vt:lpwstr>
  </property>
</Properties>
</file>